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right"/>
        <w:spacing w:after="0" w:line="274" w:lineRule="exact"/>
        <w:rPr>
          <w:sz w:val="20"/>
          <w:szCs w:val="20"/>
          <w:color w:val="auto"/>
        </w:rPr>
      </w:pPr>
      <w:r>
        <w:rPr>
          <w:rFonts w:ascii="SimSun" w:cs="SimSun" w:eastAsia="SimSun" w:hAnsi="SimSun"/>
          <w:sz w:val="24"/>
          <w:szCs w:val="24"/>
          <w:color w:val="7F7F7F"/>
        </w:rPr>
        <w:t>深耕欧美管理会计理念聚</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-396875</wp:posOffset>
            </wp:positionH>
            <wp:positionV relativeFrom="paragraph">
              <wp:posOffset>-104775</wp:posOffset>
            </wp:positionV>
            <wp:extent cx="1494790" cy="5575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494790" cy="55753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6302375</wp:posOffset>
                </wp:positionH>
                <wp:positionV relativeFrom="paragraph">
                  <wp:posOffset>-104775</wp:posOffset>
                </wp:positionV>
                <wp:extent cx="0" cy="556895"/>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6895"/>
                        </a:xfrm>
                        <a:prstGeom prst="line">
                          <a:avLst/>
                        </a:prstGeom>
                        <a:solidFill>
                          <a:srgbClr val="FFFFFF"/>
                        </a:solidFill>
                        <a:ln w="50291">
                          <a:solidFill>
                            <a:srgbClr val="08788C"/>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25pt,-8.2499pt" to="496.25pt,35.6pt" o:allowincell="f" strokecolor="#08788C" strokeweight="3.9599pt"/>
            </w:pict>
          </mc:Fallback>
        </mc:AlternateContent>
      </w:r>
    </w:p>
    <w:p>
      <w:pPr>
        <w:spacing w:after="0" w:line="138" w:lineRule="exact"/>
        <w:rPr>
          <w:sz w:val="24"/>
          <w:szCs w:val="24"/>
          <w:color w:val="auto"/>
        </w:rPr>
      </w:pPr>
    </w:p>
    <w:p>
      <w:pPr>
        <w:jc w:val="right"/>
        <w:spacing w:after="0" w:line="274" w:lineRule="exact"/>
        <w:rPr>
          <w:sz w:val="20"/>
          <w:szCs w:val="20"/>
          <w:color w:val="auto"/>
        </w:rPr>
      </w:pPr>
      <w:r>
        <w:rPr>
          <w:rFonts w:ascii="SimSun" w:cs="SimSun" w:eastAsia="SimSun" w:hAnsi="SimSun"/>
          <w:sz w:val="24"/>
          <w:szCs w:val="24"/>
          <w:color w:val="7F7F7F"/>
        </w:rPr>
        <w:t>焦中国企业实践十七年</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55" w:lineRule="exact"/>
        <w:rPr>
          <w:sz w:val="24"/>
          <w:szCs w:val="24"/>
          <w:color w:val="auto"/>
        </w:rPr>
      </w:pPr>
    </w:p>
    <w:p>
      <w:pPr>
        <w:jc w:val="center"/>
        <w:ind w:right="280"/>
        <w:spacing w:after="0" w:line="873" w:lineRule="exact"/>
        <w:rPr>
          <w:sz w:val="20"/>
          <w:szCs w:val="20"/>
          <w:color w:val="auto"/>
        </w:rPr>
      </w:pPr>
      <w:r>
        <w:rPr>
          <w:rFonts w:ascii="SimSun" w:cs="SimSun" w:eastAsia="SimSun" w:hAnsi="SimSun"/>
          <w:sz w:val="72"/>
          <w:szCs w:val="72"/>
          <w:color w:val="08788C"/>
        </w:rPr>
        <w:t>非财务经理的财务课程</w:t>
      </w:r>
      <w:r>
        <w:rPr>
          <w:rFonts w:ascii="Arial" w:cs="Arial" w:eastAsia="Arial" w:hAnsi="Arial"/>
          <w:sz w:val="48"/>
          <w:szCs w:val="48"/>
          <w:color w:val="08788C"/>
        </w:rPr>
        <w:t>(</w:t>
      </w:r>
      <w:r>
        <w:rPr>
          <w:rFonts w:ascii="SimSun" w:cs="SimSun" w:eastAsia="SimSun" w:hAnsi="SimSun"/>
          <w:sz w:val="48"/>
          <w:szCs w:val="48"/>
          <w:color w:val="08788C"/>
        </w:rPr>
        <w:t>精要版</w:t>
      </w:r>
      <w:r>
        <w:rPr>
          <w:rFonts w:ascii="Arial" w:cs="Arial" w:eastAsia="Arial" w:hAnsi="Arial"/>
          <w:sz w:val="48"/>
          <w:szCs w:val="48"/>
          <w:color w:val="08788C"/>
        </w:rPr>
        <w:t>)</w:t>
      </w:r>
    </w:p>
    <w:p>
      <w:pPr>
        <w:spacing w:after="0" w:line="200" w:lineRule="exact"/>
        <w:rPr>
          <w:sz w:val="24"/>
          <w:szCs w:val="24"/>
          <w:color w:val="auto"/>
        </w:rPr>
      </w:pPr>
    </w:p>
    <w:p>
      <w:pPr>
        <w:spacing w:after="0" w:line="200" w:lineRule="exact"/>
        <w:rPr>
          <w:sz w:val="24"/>
          <w:szCs w:val="24"/>
          <w:color w:val="auto"/>
        </w:rPr>
      </w:pPr>
    </w:p>
    <w:p>
      <w:pPr>
        <w:spacing w:after="0" w:line="230" w:lineRule="exact"/>
        <w:rPr>
          <w:sz w:val="24"/>
          <w:szCs w:val="24"/>
          <w:color w:val="auto"/>
        </w:rPr>
      </w:pPr>
    </w:p>
    <w:p>
      <w:pPr>
        <w:jc w:val="center"/>
        <w:ind w:right="280"/>
        <w:spacing w:after="0"/>
        <w:rPr>
          <w:sz w:val="20"/>
          <w:szCs w:val="20"/>
          <w:color w:val="auto"/>
        </w:rPr>
      </w:pPr>
      <w:r>
        <w:rPr>
          <w:rFonts w:ascii="Calibri" w:cs="Calibri" w:eastAsia="Calibri" w:hAnsi="Calibri"/>
          <w:sz w:val="40"/>
          <w:szCs w:val="40"/>
          <w:color w:val="7F7F7F"/>
        </w:rPr>
        <w:t>Finance for Non-Financial Managers (2D)</w:t>
      </w:r>
    </w:p>
    <w:p>
      <w:pPr>
        <w:spacing w:after="0" w:line="306" w:lineRule="exact"/>
        <w:rPr>
          <w:sz w:val="24"/>
          <w:szCs w:val="24"/>
          <w:color w:val="auto"/>
        </w:rPr>
      </w:pPr>
    </w:p>
    <w:p>
      <w:pPr>
        <w:jc w:val="center"/>
        <w:ind w:right="280"/>
        <w:spacing w:after="0" w:line="320" w:lineRule="exact"/>
        <w:rPr>
          <w:sz w:val="20"/>
          <w:szCs w:val="20"/>
          <w:color w:val="auto"/>
        </w:rPr>
      </w:pPr>
      <w:r>
        <w:rPr>
          <w:rFonts w:ascii="SimSun" w:cs="SimSun" w:eastAsia="SimSun" w:hAnsi="SimSun"/>
          <w:sz w:val="28"/>
          <w:szCs w:val="28"/>
          <w:color w:val="A6A6A6"/>
        </w:rPr>
        <w:t>掌握实用财务工具</w:t>
      </w:r>
    </w:p>
    <w:p>
      <w:pPr>
        <w:spacing w:after="0" w:line="185" w:lineRule="exact"/>
        <w:rPr>
          <w:sz w:val="24"/>
          <w:szCs w:val="24"/>
          <w:color w:val="auto"/>
        </w:rPr>
      </w:pPr>
    </w:p>
    <w:p>
      <w:pPr>
        <w:jc w:val="center"/>
        <w:ind w:right="260"/>
        <w:spacing w:after="0" w:line="320" w:lineRule="exact"/>
        <w:rPr>
          <w:sz w:val="20"/>
          <w:szCs w:val="20"/>
          <w:color w:val="auto"/>
        </w:rPr>
      </w:pPr>
      <w:r>
        <w:rPr>
          <w:rFonts w:ascii="SimSun" w:cs="SimSun" w:eastAsia="SimSun" w:hAnsi="SimSun"/>
          <w:sz w:val="28"/>
          <w:szCs w:val="28"/>
          <w:color w:val="A6A6A6"/>
        </w:rPr>
        <w:t>开阔管理思路与经营理念</w:t>
      </w:r>
    </w:p>
    <w:p>
      <w:pPr>
        <w:spacing w:after="0" w:line="185" w:lineRule="exact"/>
        <w:rPr>
          <w:sz w:val="24"/>
          <w:szCs w:val="24"/>
          <w:color w:val="auto"/>
        </w:rPr>
      </w:pPr>
    </w:p>
    <w:p>
      <w:pPr>
        <w:jc w:val="center"/>
        <w:ind w:right="280"/>
        <w:spacing w:after="0" w:line="320" w:lineRule="exact"/>
        <w:rPr>
          <w:sz w:val="20"/>
          <w:szCs w:val="20"/>
          <w:color w:val="auto"/>
        </w:rPr>
      </w:pPr>
      <w:r>
        <w:rPr>
          <w:rFonts w:ascii="SimSun" w:cs="SimSun" w:eastAsia="SimSun" w:hAnsi="SimSun"/>
          <w:sz w:val="28"/>
          <w:szCs w:val="28"/>
          <w:color w:val="A6A6A6"/>
        </w:rPr>
        <w:t>用财务思维有效提升经营绩效</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-799465</wp:posOffset>
            </wp:positionH>
            <wp:positionV relativeFrom="paragraph">
              <wp:posOffset>798830</wp:posOffset>
            </wp:positionV>
            <wp:extent cx="7559040" cy="39687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extLst>
                    </a:blip>
                    <a:srcRect/>
                    <a:stretch>
                      <a:fillRect/>
                    </a:stretch>
                  </pic:blipFill>
                  <pic:spPr bwMode="auto">
                    <a:xfrm>
                      <a:off x="0" y="0"/>
                      <a:ext cx="7559040" cy="396875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8" w:lineRule="exact"/>
        <w:rPr>
          <w:sz w:val="24"/>
          <w:szCs w:val="24"/>
          <w:color w:val="auto"/>
        </w:rPr>
      </w:pPr>
    </w:p>
    <w:p>
      <w:pPr>
        <w:ind w:left="7460"/>
        <w:spacing w:after="0" w:line="445" w:lineRule="exact"/>
        <w:rPr>
          <w:sz w:val="20"/>
          <w:szCs w:val="20"/>
          <w:color w:val="auto"/>
        </w:rPr>
      </w:pPr>
      <w:r>
        <w:rPr>
          <w:rFonts w:ascii="SimSun" w:cs="SimSun" w:eastAsia="SimSun" w:hAnsi="SimSun"/>
          <w:sz w:val="39"/>
          <w:szCs w:val="39"/>
          <w:color w:val="08788C"/>
        </w:rPr>
        <w:t>精英小班</w:t>
      </w:r>
    </w:p>
    <w:p>
      <w:pPr>
        <w:spacing w:after="0" w:line="308" w:lineRule="exact"/>
        <w:rPr>
          <w:sz w:val="24"/>
          <w:szCs w:val="24"/>
          <w:color w:val="auto"/>
        </w:rPr>
      </w:pPr>
    </w:p>
    <w:p>
      <w:pPr>
        <w:spacing w:after="0" w:line="366" w:lineRule="exact"/>
        <w:rPr>
          <w:sz w:val="20"/>
          <w:szCs w:val="20"/>
          <w:color w:val="auto"/>
        </w:rPr>
      </w:pPr>
      <w:r>
        <w:rPr>
          <w:rFonts w:ascii="SimSun" w:cs="SimSun" w:eastAsia="SimSun" w:hAnsi="SimSun"/>
          <w:sz w:val="32"/>
          <w:szCs w:val="32"/>
          <w:color w:val="FFFFFF"/>
        </w:rPr>
        <w:t>安越管理会计学院五大优势：</w:t>
      </w:r>
    </w:p>
    <w:p>
      <w:pPr>
        <w:spacing w:after="0" w:line="200" w:lineRule="exact"/>
        <w:rPr>
          <w:sz w:val="24"/>
          <w:szCs w:val="24"/>
          <w:color w:val="auto"/>
        </w:rPr>
      </w:pPr>
    </w:p>
    <w:p>
      <w:pPr>
        <w:spacing w:after="0" w:line="398" w:lineRule="exact"/>
        <w:rPr>
          <w:sz w:val="24"/>
          <w:szCs w:val="24"/>
          <w:color w:val="auto"/>
        </w:rPr>
      </w:pPr>
    </w:p>
    <w:tbl>
      <w:tblPr>
        <w:tblLayout w:type="fixed"/>
        <w:tblInd w:w="20" w:type="dxa"/>
        <w:tblCellMar>
          <w:top w:w="0" w:type="dxa"/>
          <w:left w:w="0" w:type="dxa"/>
          <w:bottom w:w="0" w:type="dxa"/>
          <w:right w:w="0" w:type="dxa"/>
        </w:tblCellMar>
      </w:tblPr>
      <w:tr>
        <w:trPr>
          <w:trHeight w:val="273"/>
        </w:trPr>
        <w:tc>
          <w:tcPr>
            <w:tcW w:w="120" w:type="dxa"/>
            <w:vAlign w:val="bottom"/>
          </w:tcPr>
          <w:p>
            <w:pPr>
              <w:spacing w:after="0"/>
              <w:rPr>
                <w:sz w:val="23"/>
                <w:szCs w:val="23"/>
                <w:color w:val="auto"/>
              </w:rPr>
            </w:pPr>
          </w:p>
        </w:tc>
        <w:tc>
          <w:tcPr>
            <w:tcW w:w="3280" w:type="dxa"/>
            <w:vAlign w:val="bottom"/>
            <w:vMerge w:val="restart"/>
          </w:tcPr>
          <w:p>
            <w:pPr>
              <w:ind w:left="120"/>
              <w:spacing w:after="0" w:line="274" w:lineRule="exact"/>
              <w:rPr>
                <w:sz w:val="20"/>
                <w:szCs w:val="20"/>
                <w:color w:val="auto"/>
              </w:rPr>
            </w:pPr>
            <w:r>
              <w:rPr>
                <w:rFonts w:ascii="SimSun" w:cs="SimSun" w:eastAsia="SimSun" w:hAnsi="SimSun"/>
                <w:sz w:val="24"/>
                <w:szCs w:val="24"/>
                <w:color w:val="FFFFFF"/>
              </w:rPr>
              <w:t>国内首推管理会计学院</w:t>
            </w:r>
          </w:p>
        </w:tc>
        <w:tc>
          <w:tcPr>
            <w:tcW w:w="120" w:type="dxa"/>
            <w:vAlign w:val="bottom"/>
          </w:tcPr>
          <w:p>
            <w:pPr>
              <w:spacing w:after="0"/>
              <w:rPr>
                <w:sz w:val="23"/>
                <w:szCs w:val="23"/>
                <w:color w:val="auto"/>
              </w:rPr>
            </w:pPr>
          </w:p>
        </w:tc>
        <w:tc>
          <w:tcPr>
            <w:tcW w:w="2740" w:type="dxa"/>
            <w:vAlign w:val="bottom"/>
            <w:vMerge w:val="restart"/>
          </w:tcPr>
          <w:p>
            <w:pPr>
              <w:ind w:left="120"/>
              <w:spacing w:after="0" w:line="274" w:lineRule="exact"/>
              <w:rPr>
                <w:sz w:val="20"/>
                <w:szCs w:val="20"/>
                <w:color w:val="auto"/>
              </w:rPr>
            </w:pPr>
            <w:r>
              <w:rPr>
                <w:rFonts w:ascii="SimSun" w:cs="SimSun" w:eastAsia="SimSun" w:hAnsi="SimSun"/>
                <w:sz w:val="24"/>
                <w:szCs w:val="24"/>
                <w:color w:val="FFFFFF"/>
              </w:rPr>
              <w:t>聚焦本土最佳实践</w:t>
            </w:r>
          </w:p>
        </w:tc>
        <w:tc>
          <w:tcPr>
            <w:tcW w:w="120" w:type="dxa"/>
            <w:vAlign w:val="bottom"/>
          </w:tcPr>
          <w:p>
            <w:pPr>
              <w:spacing w:after="0"/>
              <w:rPr>
                <w:sz w:val="23"/>
                <w:szCs w:val="23"/>
                <w:color w:val="auto"/>
              </w:rPr>
            </w:pPr>
          </w:p>
        </w:tc>
        <w:tc>
          <w:tcPr>
            <w:tcW w:w="2780" w:type="dxa"/>
            <w:vAlign w:val="bottom"/>
            <w:vMerge w:val="restart"/>
          </w:tcPr>
          <w:p>
            <w:pPr>
              <w:ind w:left="140"/>
              <w:spacing w:after="0" w:line="274" w:lineRule="exact"/>
              <w:rPr>
                <w:sz w:val="20"/>
                <w:szCs w:val="20"/>
                <w:color w:val="auto"/>
              </w:rPr>
            </w:pPr>
            <w:r>
              <w:rPr>
                <w:rFonts w:ascii="SimSun" w:cs="SimSun" w:eastAsia="SimSun" w:hAnsi="SimSun"/>
                <w:sz w:val="24"/>
                <w:szCs w:val="24"/>
                <w:color w:val="FFFFFF"/>
                <w:w w:val="99"/>
              </w:rPr>
              <w:t>全面实用的管理会计体系</w:t>
            </w:r>
          </w:p>
        </w:tc>
        <w:tc>
          <w:tcPr>
            <w:tcW w:w="0" w:type="dxa"/>
            <w:vAlign w:val="bottom"/>
          </w:tcPr>
          <w:p>
            <w:pPr>
              <w:spacing w:after="0"/>
              <w:rPr>
                <w:sz w:val="1"/>
                <w:szCs w:val="1"/>
                <w:color w:val="auto"/>
              </w:rPr>
            </w:pPr>
          </w:p>
        </w:tc>
      </w:tr>
      <w:tr>
        <w:trPr>
          <w:trHeight w:val="120"/>
        </w:trPr>
        <w:tc>
          <w:tcPr>
            <w:tcW w:w="120" w:type="dxa"/>
            <w:vAlign w:val="bottom"/>
            <w:shd w:val="clear" w:color="auto" w:fill="94C1C9"/>
          </w:tcPr>
          <w:p>
            <w:pPr>
              <w:spacing w:after="0"/>
              <w:rPr>
                <w:sz w:val="10"/>
                <w:szCs w:val="10"/>
                <w:color w:val="auto"/>
              </w:rPr>
            </w:pPr>
          </w:p>
        </w:tc>
        <w:tc>
          <w:tcPr>
            <w:tcW w:w="3280" w:type="dxa"/>
            <w:vAlign w:val="bottom"/>
            <w:vMerge w:val="continue"/>
          </w:tcPr>
          <w:p>
            <w:pPr>
              <w:spacing w:after="0"/>
              <w:rPr>
                <w:sz w:val="10"/>
                <w:szCs w:val="10"/>
                <w:color w:val="auto"/>
              </w:rPr>
            </w:pPr>
          </w:p>
        </w:tc>
        <w:tc>
          <w:tcPr>
            <w:tcW w:w="120" w:type="dxa"/>
            <w:vAlign w:val="bottom"/>
            <w:shd w:val="clear" w:color="auto" w:fill="94C1C9"/>
          </w:tcPr>
          <w:p>
            <w:pPr>
              <w:spacing w:after="0"/>
              <w:rPr>
                <w:sz w:val="10"/>
                <w:szCs w:val="10"/>
                <w:color w:val="auto"/>
              </w:rPr>
            </w:pPr>
          </w:p>
        </w:tc>
        <w:tc>
          <w:tcPr>
            <w:tcW w:w="2740" w:type="dxa"/>
            <w:vAlign w:val="bottom"/>
            <w:vMerge w:val="continue"/>
          </w:tcPr>
          <w:p>
            <w:pPr>
              <w:spacing w:after="0"/>
              <w:rPr>
                <w:sz w:val="10"/>
                <w:szCs w:val="10"/>
                <w:color w:val="auto"/>
              </w:rPr>
            </w:pPr>
          </w:p>
        </w:tc>
        <w:tc>
          <w:tcPr>
            <w:tcW w:w="120" w:type="dxa"/>
            <w:vAlign w:val="bottom"/>
            <w:shd w:val="clear" w:color="auto" w:fill="94C1C9"/>
          </w:tcPr>
          <w:p>
            <w:pPr>
              <w:spacing w:after="0"/>
              <w:rPr>
                <w:sz w:val="10"/>
                <w:szCs w:val="10"/>
                <w:color w:val="auto"/>
              </w:rPr>
            </w:pPr>
          </w:p>
        </w:tc>
        <w:tc>
          <w:tcPr>
            <w:tcW w:w="27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41"/>
        </w:trPr>
        <w:tc>
          <w:tcPr>
            <w:tcW w:w="120" w:type="dxa"/>
            <w:vAlign w:val="bottom"/>
          </w:tcPr>
          <w:p>
            <w:pPr>
              <w:spacing w:after="0"/>
              <w:rPr>
                <w:sz w:val="3"/>
                <w:szCs w:val="3"/>
                <w:color w:val="auto"/>
              </w:rPr>
            </w:pPr>
          </w:p>
        </w:tc>
        <w:tc>
          <w:tcPr>
            <w:tcW w:w="3280" w:type="dxa"/>
            <w:vAlign w:val="bottom"/>
            <w:vMerge w:val="continue"/>
          </w:tcPr>
          <w:p>
            <w:pPr>
              <w:spacing w:after="0"/>
              <w:rPr>
                <w:sz w:val="3"/>
                <w:szCs w:val="3"/>
                <w:color w:val="auto"/>
              </w:rPr>
            </w:pPr>
          </w:p>
        </w:tc>
        <w:tc>
          <w:tcPr>
            <w:tcW w:w="120" w:type="dxa"/>
            <w:vAlign w:val="bottom"/>
          </w:tcPr>
          <w:p>
            <w:pPr>
              <w:spacing w:after="0"/>
              <w:rPr>
                <w:sz w:val="3"/>
                <w:szCs w:val="3"/>
                <w:color w:val="auto"/>
              </w:rPr>
            </w:pPr>
          </w:p>
        </w:tc>
        <w:tc>
          <w:tcPr>
            <w:tcW w:w="2740" w:type="dxa"/>
            <w:vAlign w:val="bottom"/>
            <w:vMerge w:val="continue"/>
          </w:tcPr>
          <w:p>
            <w:pPr>
              <w:spacing w:after="0"/>
              <w:rPr>
                <w:sz w:val="3"/>
                <w:szCs w:val="3"/>
                <w:color w:val="auto"/>
              </w:rPr>
            </w:pPr>
          </w:p>
        </w:tc>
        <w:tc>
          <w:tcPr>
            <w:tcW w:w="120" w:type="dxa"/>
            <w:vAlign w:val="bottom"/>
          </w:tcPr>
          <w:p>
            <w:pPr>
              <w:spacing w:after="0"/>
              <w:rPr>
                <w:sz w:val="3"/>
                <w:szCs w:val="3"/>
                <w:color w:val="auto"/>
              </w:rPr>
            </w:pPr>
          </w:p>
        </w:tc>
        <w:tc>
          <w:tcPr>
            <w:tcW w:w="278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19"/>
        </w:trPr>
        <w:tc>
          <w:tcPr>
            <w:tcW w:w="120" w:type="dxa"/>
            <w:vAlign w:val="bottom"/>
          </w:tcPr>
          <w:p>
            <w:pPr>
              <w:spacing w:after="0"/>
              <w:rPr>
                <w:sz w:val="24"/>
                <w:szCs w:val="24"/>
                <w:color w:val="auto"/>
              </w:rPr>
            </w:pPr>
          </w:p>
        </w:tc>
        <w:tc>
          <w:tcPr>
            <w:tcW w:w="3280" w:type="dxa"/>
            <w:vAlign w:val="bottom"/>
            <w:vMerge w:val="restart"/>
          </w:tcPr>
          <w:p>
            <w:pPr>
              <w:ind w:left="120"/>
              <w:spacing w:after="0" w:line="274" w:lineRule="exact"/>
              <w:rPr>
                <w:sz w:val="20"/>
                <w:szCs w:val="20"/>
                <w:color w:val="auto"/>
              </w:rPr>
            </w:pPr>
            <w:r>
              <w:rPr>
                <w:rFonts w:ascii="SimSun" w:cs="SimSun" w:eastAsia="SimSun" w:hAnsi="SimSun"/>
                <w:sz w:val="24"/>
                <w:szCs w:val="24"/>
                <w:color w:val="FFFFFF"/>
              </w:rPr>
              <w:t>精英小班学习社交平台</w:t>
            </w:r>
          </w:p>
        </w:tc>
        <w:tc>
          <w:tcPr>
            <w:tcW w:w="120" w:type="dxa"/>
            <w:vAlign w:val="bottom"/>
          </w:tcPr>
          <w:p>
            <w:pPr>
              <w:spacing w:after="0"/>
              <w:rPr>
                <w:sz w:val="24"/>
                <w:szCs w:val="24"/>
                <w:color w:val="auto"/>
              </w:rPr>
            </w:pPr>
          </w:p>
        </w:tc>
        <w:tc>
          <w:tcPr>
            <w:tcW w:w="2740" w:type="dxa"/>
            <w:vAlign w:val="bottom"/>
            <w:vMerge w:val="restart"/>
          </w:tcPr>
          <w:p>
            <w:pPr>
              <w:ind w:left="120"/>
              <w:spacing w:after="0" w:line="274" w:lineRule="exact"/>
              <w:rPr>
                <w:sz w:val="20"/>
                <w:szCs w:val="20"/>
                <w:color w:val="auto"/>
              </w:rPr>
            </w:pPr>
            <w:r>
              <w:rPr>
                <w:rFonts w:ascii="SimSun" w:cs="SimSun" w:eastAsia="SimSun" w:hAnsi="SimSun"/>
                <w:sz w:val="24"/>
                <w:szCs w:val="24"/>
                <w:color w:val="FFFFFF"/>
              </w:rPr>
              <w:t>务实的合伙人讲师团队</w:t>
            </w:r>
          </w:p>
        </w:tc>
        <w:tc>
          <w:tcPr>
            <w:tcW w:w="120" w:type="dxa"/>
            <w:vAlign w:val="bottom"/>
          </w:tcPr>
          <w:p>
            <w:pPr>
              <w:spacing w:after="0"/>
              <w:rPr>
                <w:sz w:val="24"/>
                <w:szCs w:val="24"/>
                <w:color w:val="auto"/>
              </w:rPr>
            </w:pPr>
          </w:p>
        </w:tc>
        <w:tc>
          <w:tcPr>
            <w:tcW w:w="2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120" w:type="dxa"/>
            <w:vAlign w:val="bottom"/>
            <w:shd w:val="clear" w:color="auto" w:fill="94C1C9"/>
          </w:tcPr>
          <w:p>
            <w:pPr>
              <w:spacing w:after="0"/>
              <w:rPr>
                <w:sz w:val="10"/>
                <w:szCs w:val="10"/>
                <w:color w:val="auto"/>
              </w:rPr>
            </w:pPr>
          </w:p>
        </w:tc>
        <w:tc>
          <w:tcPr>
            <w:tcW w:w="3280" w:type="dxa"/>
            <w:vAlign w:val="bottom"/>
            <w:vMerge w:val="continue"/>
          </w:tcPr>
          <w:p>
            <w:pPr>
              <w:spacing w:after="0"/>
              <w:rPr>
                <w:sz w:val="10"/>
                <w:szCs w:val="10"/>
                <w:color w:val="auto"/>
              </w:rPr>
            </w:pPr>
          </w:p>
        </w:tc>
        <w:tc>
          <w:tcPr>
            <w:tcW w:w="120" w:type="dxa"/>
            <w:vAlign w:val="bottom"/>
            <w:shd w:val="clear" w:color="auto" w:fill="94C1C9"/>
          </w:tcPr>
          <w:p>
            <w:pPr>
              <w:spacing w:after="0"/>
              <w:rPr>
                <w:sz w:val="10"/>
                <w:szCs w:val="10"/>
                <w:color w:val="auto"/>
              </w:rPr>
            </w:pPr>
          </w:p>
        </w:tc>
        <w:tc>
          <w:tcPr>
            <w:tcW w:w="274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278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80" w:lineRule="exact"/>
        <w:rPr>
          <w:sz w:val="24"/>
          <w:szCs w:val="24"/>
          <w:color w:val="auto"/>
        </w:rPr>
      </w:pPr>
    </w:p>
    <w:p>
      <w:pPr>
        <w:jc w:val="center"/>
        <w:ind w:right="300"/>
        <w:spacing w:after="0" w:line="320" w:lineRule="exact"/>
        <w:rPr>
          <w:sz w:val="20"/>
          <w:szCs w:val="20"/>
          <w:color w:val="auto"/>
        </w:rPr>
      </w:pPr>
      <w:r>
        <w:rPr>
          <w:rFonts w:ascii="SimSun" w:cs="SimSun" w:eastAsia="SimSun" w:hAnsi="SimSun"/>
          <w:sz w:val="28"/>
          <w:szCs w:val="28"/>
          <w:b w:val="1"/>
          <w:bCs w:val="1"/>
          <w:color w:val="08788C"/>
        </w:rPr>
        <w:t>版权课程</w:t>
      </w:r>
    </w:p>
    <w:p>
      <w:pPr>
        <w:spacing w:after="0" w:line="290" w:lineRule="exact"/>
        <w:rPr>
          <w:sz w:val="24"/>
          <w:szCs w:val="24"/>
          <w:color w:val="auto"/>
        </w:rPr>
      </w:pPr>
    </w:p>
    <w:p>
      <w:pPr>
        <w:jc w:val="center"/>
        <w:ind w:right="280"/>
        <w:spacing w:after="0" w:line="340" w:lineRule="exact"/>
        <w:rPr>
          <w:sz w:val="20"/>
          <w:szCs w:val="20"/>
          <w:color w:val="auto"/>
        </w:rPr>
      </w:pPr>
      <w:r>
        <w:rPr>
          <w:rFonts w:ascii="SimSun" w:cs="SimSun" w:eastAsia="SimSun" w:hAnsi="SimSun"/>
          <w:sz w:val="28"/>
          <w:szCs w:val="28"/>
          <w:color w:val="08788C"/>
        </w:rPr>
        <w:t>沪作登记</w:t>
      </w:r>
      <w:r>
        <w:rPr>
          <w:rFonts w:ascii="Arial" w:cs="Arial" w:eastAsia="Arial" w:hAnsi="Arial"/>
          <w:sz w:val="28"/>
          <w:szCs w:val="28"/>
          <w:color w:val="08788C"/>
        </w:rPr>
        <w:t>-2013-A-00111836</w:t>
      </w:r>
    </w:p>
    <w:p>
      <w:pPr>
        <w:sectPr>
          <w:pgSz w:w="11900" w:h="16838" w:orient="portrait"/>
          <w:cols w:equalWidth="0" w:num="1">
            <w:col w:w="9660"/>
          </w:cols>
          <w:pgMar w:left="1260" w:top="624" w:right="984" w:bottom="421" w:gutter="0" w:footer="0" w:header="0"/>
        </w:sectPr>
      </w:pPr>
    </w:p>
    <w:bookmarkStart w:id="1" w:name="page2"/>
    <w:bookmarkEnd w:id="1"/>
    <w:tbl>
      <w:tblPr>
        <w:tblLayout w:type="fixed"/>
        <w:tblInd w:w="520" w:type="dxa"/>
        <w:tblCellMar>
          <w:top w:w="0" w:type="dxa"/>
          <w:left w:w="0" w:type="dxa"/>
          <w:bottom w:w="0" w:type="dxa"/>
          <w:right w:w="0" w:type="dxa"/>
        </w:tblCellMar>
      </w:tblPr>
      <w:tr>
        <w:trPr>
          <w:trHeight w:val="651"/>
        </w:trPr>
        <w:tc>
          <w:tcPr>
            <w:tcW w:w="8780" w:type="dxa"/>
            <w:vAlign w:val="bottom"/>
          </w:tcPr>
          <w:p>
            <w:pPr>
              <w:spacing w:after="0" w:line="411" w:lineRule="exact"/>
              <w:rPr>
                <w:sz w:val="20"/>
                <w:szCs w:val="20"/>
                <w:color w:val="auto"/>
              </w:rPr>
            </w:pPr>
            <w:r>
              <w:rPr>
                <w:rFonts w:ascii="SimSun" w:cs="SimSun" w:eastAsia="SimSun" w:hAnsi="SimSun"/>
                <w:sz w:val="36"/>
                <w:szCs w:val="36"/>
                <w:color w:val="087887"/>
              </w:rPr>
              <w:t>收获财务工具，掌握财务精髓</w:t>
            </w:r>
          </w:p>
        </w:tc>
        <w:tc>
          <w:tcPr>
            <w:tcW w:w="1260" w:type="dxa"/>
            <w:vAlign w:val="bottom"/>
          </w:tcPr>
          <w:p>
            <w:pPr>
              <w:jc w:val="center"/>
              <w:ind w:left="245"/>
              <w:spacing w:after="0" w:line="229" w:lineRule="exact"/>
              <w:rPr>
                <w:sz w:val="20"/>
                <w:szCs w:val="20"/>
                <w:color w:val="auto"/>
              </w:rPr>
            </w:pPr>
            <w:r>
              <w:rPr>
                <w:rFonts w:ascii="SimSun" w:cs="SimSun" w:eastAsia="SimSun" w:hAnsi="SimSun"/>
                <w:sz w:val="20"/>
                <w:szCs w:val="20"/>
                <w:color w:val="087887"/>
              </w:rPr>
              <w:t>课程时间</w:t>
            </w:r>
          </w:p>
        </w:tc>
      </w:tr>
      <w:tr>
        <w:trPr>
          <w:trHeight w:val="1200"/>
        </w:trPr>
        <w:tc>
          <w:tcPr>
            <w:tcW w:w="8780" w:type="dxa"/>
            <w:vAlign w:val="bottom"/>
          </w:tcPr>
          <w:p>
            <w:pPr>
              <w:spacing w:after="0" w:line="480" w:lineRule="exact"/>
              <w:rPr>
                <w:sz w:val="20"/>
                <w:szCs w:val="20"/>
                <w:color w:val="auto"/>
              </w:rPr>
            </w:pPr>
            <w:r>
              <w:rPr>
                <w:rFonts w:ascii="SimSun" w:cs="SimSun" w:eastAsia="SimSun" w:hAnsi="SimSun"/>
                <w:sz w:val="42"/>
                <w:szCs w:val="42"/>
                <w:b w:val="1"/>
                <w:bCs w:val="1"/>
                <w:color w:val="087887"/>
              </w:rPr>
              <w:t>管理视角结合日常经营，用财务思维科学决策</w:t>
            </w:r>
          </w:p>
        </w:tc>
        <w:tc>
          <w:tcPr>
            <w:tcW w:w="1260" w:type="dxa"/>
            <w:vAlign w:val="bottom"/>
          </w:tcPr>
          <w:p>
            <w:pPr>
              <w:jc w:val="center"/>
              <w:ind w:left="225"/>
              <w:spacing w:after="0" w:line="510" w:lineRule="exact"/>
              <w:rPr>
                <w:sz w:val="20"/>
                <w:szCs w:val="20"/>
                <w:color w:val="auto"/>
              </w:rPr>
            </w:pPr>
            <w:r>
              <w:rPr>
                <w:rFonts w:ascii="Arial" w:cs="Arial" w:eastAsia="Arial" w:hAnsi="Arial"/>
                <w:sz w:val="42"/>
                <w:szCs w:val="42"/>
                <w:color w:val="087887"/>
              </w:rPr>
              <w:t>2</w:t>
            </w:r>
            <w:r>
              <w:rPr>
                <w:rFonts w:ascii="SimSun" w:cs="SimSun" w:eastAsia="SimSun" w:hAnsi="SimSun"/>
                <w:sz w:val="42"/>
                <w:szCs w:val="42"/>
                <w:color w:val="087887"/>
              </w:rPr>
              <w:t>天</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340995</wp:posOffset>
            </wp:positionH>
            <wp:positionV relativeFrom="paragraph">
              <wp:posOffset>-1099185</wp:posOffset>
            </wp:positionV>
            <wp:extent cx="6487795" cy="51212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extLst>
                    </a:blip>
                    <a:srcRect/>
                    <a:stretch>
                      <a:fillRect/>
                    </a:stretch>
                  </pic:blipFill>
                  <pic:spPr bwMode="auto">
                    <a:xfrm>
                      <a:off x="0" y="0"/>
                      <a:ext cx="6487795" cy="5121275"/>
                    </a:xfrm>
                    <a:prstGeom prst="rect">
                      <a:avLst/>
                    </a:prstGeom>
                    <a:noFill/>
                  </pic:spPr>
                </pic:pic>
              </a:graphicData>
            </a:graphic>
          </wp:anchor>
        </w:drawing>
      </w:r>
    </w:p>
    <w:p>
      <w:pPr>
        <w:spacing w:after="0" w:line="241" w:lineRule="exact"/>
        <w:rPr>
          <w:sz w:val="20"/>
          <w:szCs w:val="20"/>
          <w:color w:val="auto"/>
        </w:rPr>
      </w:pPr>
    </w:p>
    <w:p>
      <w:pPr>
        <w:ind w:left="540"/>
        <w:spacing w:after="0" w:line="320" w:lineRule="exact"/>
        <w:rPr>
          <w:sz w:val="20"/>
          <w:szCs w:val="20"/>
          <w:color w:val="auto"/>
        </w:rPr>
      </w:pPr>
      <w:r>
        <w:rPr>
          <w:rFonts w:ascii="SimSun" w:cs="SimSun" w:eastAsia="SimSun" w:hAnsi="SimSun"/>
          <w:sz w:val="28"/>
          <w:szCs w:val="28"/>
          <w:color w:val="087887"/>
        </w:rPr>
        <w:t>在工作中，您是否遇到过以下情形：</w:t>
      </w:r>
    </w:p>
    <w:p>
      <w:pPr>
        <w:spacing w:after="0" w:line="200" w:lineRule="exact"/>
        <w:rPr>
          <w:sz w:val="20"/>
          <w:szCs w:val="20"/>
          <w:color w:val="auto"/>
        </w:rPr>
      </w:pPr>
    </w:p>
    <w:p>
      <w:pPr>
        <w:spacing w:after="0" w:line="238" w:lineRule="exact"/>
        <w:rPr>
          <w:sz w:val="20"/>
          <w:szCs w:val="20"/>
          <w:color w:val="auto"/>
        </w:rPr>
      </w:pPr>
    </w:p>
    <w:p>
      <w:pPr>
        <w:jc w:val="both"/>
        <w:ind w:left="940" w:right="4060" w:hanging="403"/>
        <w:spacing w:after="0" w:line="420" w:lineRule="exact"/>
        <w:tabs>
          <w:tab w:leader="none" w:pos="941" w:val="left"/>
        </w:tabs>
        <w:numPr>
          <w:ilvl w:val="0"/>
          <w:numId w:val="1"/>
        </w:numPr>
        <w:rPr>
          <w:rFonts w:ascii="Arial" w:cs="Arial" w:eastAsia="Arial" w:hAnsi="Arial"/>
          <w:sz w:val="16"/>
          <w:szCs w:val="16"/>
          <w:color w:val="087887"/>
        </w:rPr>
      </w:pPr>
      <w:r>
        <w:rPr>
          <w:rFonts w:ascii="SimSun" w:cs="SimSun" w:eastAsia="SimSun" w:hAnsi="SimSun"/>
          <w:sz w:val="20"/>
          <w:szCs w:val="20"/>
          <w:color w:val="221E1F"/>
        </w:rPr>
        <w:t>技术背景的业务经理，参加经营管理会议，财务总监拿着一堆财务指标在上面说得唇干舌燥，下面的管理人员听得似懂非懂。有没有什么具体的方法能让管理人员在面对财务数字时可以有一个全面而清晰的分析逻辑与思路？</w:t>
      </w:r>
    </w:p>
    <w:p>
      <w:pPr>
        <w:ind w:left="940" w:right="3940" w:hanging="403"/>
        <w:spacing w:after="0" w:line="420" w:lineRule="exact"/>
        <w:tabs>
          <w:tab w:leader="none" w:pos="941" w:val="left"/>
        </w:tabs>
        <w:numPr>
          <w:ilvl w:val="0"/>
          <w:numId w:val="1"/>
        </w:numPr>
        <w:rPr>
          <w:rFonts w:ascii="Arial" w:cs="Arial" w:eastAsia="Arial" w:hAnsi="Arial"/>
          <w:sz w:val="16"/>
          <w:szCs w:val="16"/>
          <w:color w:val="087887"/>
        </w:rPr>
      </w:pPr>
      <w:r>
        <w:rPr>
          <w:rFonts w:ascii="SimSun" w:cs="SimSun" w:eastAsia="SimSun" w:hAnsi="SimSun"/>
          <w:sz w:val="20"/>
          <w:szCs w:val="20"/>
          <w:color w:val="221E1F"/>
        </w:rPr>
        <w:t xml:space="preserve">业务人员拿着一堆业务招待费的发票找财务报销，财务总是要审个没完。业务觉得财务死板教条，财务搬出一堆理由：公司制度，国家税法，部门预算 </w:t>
      </w:r>
      <w:r>
        <w:rPr>
          <w:rFonts w:ascii="Arial Unicode MS" w:cs="Arial Unicode MS" w:eastAsia="Arial Unicode MS" w:hAnsi="Arial Unicode MS"/>
          <w:sz w:val="20"/>
          <w:szCs w:val="20"/>
          <w:color w:val="221E1F"/>
        </w:rPr>
        <w:t>��</w:t>
      </w:r>
      <w:r>
        <w:rPr>
          <w:rFonts w:ascii="SimSun" w:cs="SimSun" w:eastAsia="SimSun" w:hAnsi="SimSun"/>
          <w:sz w:val="20"/>
          <w:szCs w:val="20"/>
          <w:color w:val="221E1F"/>
        </w:rPr>
        <w:t>， 跟财务沟通总是困难重重。有没有灵活操作的空间？这其中企业要承担什么样的涉税风险？</w:t>
      </w:r>
    </w:p>
    <w:p>
      <w:pPr>
        <w:spacing w:after="0" w:line="3" w:lineRule="exact"/>
        <w:rPr>
          <w:rFonts w:ascii="Arial" w:cs="Arial" w:eastAsia="Arial" w:hAnsi="Arial"/>
          <w:sz w:val="16"/>
          <w:szCs w:val="16"/>
          <w:color w:val="087887"/>
        </w:rPr>
      </w:pPr>
    </w:p>
    <w:p>
      <w:pPr>
        <w:ind w:left="940" w:right="4060" w:hanging="403"/>
        <w:spacing w:after="0" w:line="420" w:lineRule="exact"/>
        <w:tabs>
          <w:tab w:leader="none" w:pos="941" w:val="left"/>
        </w:tabs>
        <w:numPr>
          <w:ilvl w:val="0"/>
          <w:numId w:val="1"/>
        </w:numPr>
        <w:rPr>
          <w:rFonts w:ascii="Arial" w:cs="Arial" w:eastAsia="Arial" w:hAnsi="Arial"/>
          <w:sz w:val="16"/>
          <w:szCs w:val="16"/>
          <w:color w:val="087887"/>
        </w:rPr>
      </w:pPr>
      <w:r>
        <w:rPr>
          <w:rFonts w:ascii="SimSun" w:cs="SimSun" w:eastAsia="SimSun" w:hAnsi="SimSun"/>
          <w:sz w:val="20"/>
          <w:szCs w:val="20"/>
          <w:color w:val="221E1F"/>
        </w:rPr>
        <w:t>碰到有的客户或是供应商有各式各样的开票要求或建议，服务发票与增值税发票都可以吗？其中税的差异到底在哪里呢？</w:t>
      </w:r>
    </w:p>
    <w:p>
      <w:pPr>
        <w:ind w:left="940" w:right="4060" w:hanging="403"/>
        <w:spacing w:after="0" w:line="495" w:lineRule="exact"/>
        <w:tabs>
          <w:tab w:leader="none" w:pos="941" w:val="left"/>
        </w:tabs>
        <w:numPr>
          <w:ilvl w:val="0"/>
          <w:numId w:val="1"/>
        </w:numPr>
        <w:rPr>
          <w:rFonts w:ascii="Arial" w:cs="Arial" w:eastAsia="Arial" w:hAnsi="Arial"/>
          <w:sz w:val="16"/>
          <w:szCs w:val="16"/>
          <w:color w:val="087887"/>
        </w:rPr>
      </w:pPr>
      <w:r>
        <w:rPr>
          <w:rFonts w:ascii="SimSun" w:cs="SimSun" w:eastAsia="SimSun" w:hAnsi="SimSun"/>
          <w:sz w:val="20"/>
          <w:szCs w:val="20"/>
          <w:color w:val="221E1F"/>
        </w:rPr>
        <w:t>为什么昨天看起来还是非常好的企业，会在一夜之间破产倒闭？为什么利润很好的企业也会存活不下去？</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340995</wp:posOffset>
                </wp:positionH>
                <wp:positionV relativeFrom="paragraph">
                  <wp:posOffset>58420</wp:posOffset>
                </wp:positionV>
                <wp:extent cx="3974465"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74465" cy="4763"/>
                        </a:xfrm>
                        <a:prstGeom prst="line">
                          <a:avLst/>
                        </a:prstGeom>
                        <a:solidFill>
                          <a:srgbClr val="FFFFFF"/>
                        </a:solidFill>
                        <a:ln w="29629">
                          <a:solidFill>
                            <a:srgbClr val="087887"/>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5pt,4.6pt" to="339.8pt,4.6pt" o:allowincell="f" strokecolor="#087887" strokeweight="2.333pt"/>
            </w:pict>
          </mc:Fallback>
        </mc:AlternateContent>
      </w:r>
    </w:p>
    <w:p>
      <w:pPr>
        <w:spacing w:after="0" w:line="247" w:lineRule="exact"/>
        <w:rPr>
          <w:sz w:val="20"/>
          <w:szCs w:val="20"/>
          <w:color w:val="auto"/>
        </w:rPr>
      </w:pPr>
    </w:p>
    <w:p>
      <w:pPr>
        <w:ind w:left="600"/>
        <w:spacing w:after="0" w:line="465" w:lineRule="exact"/>
        <w:rPr>
          <w:sz w:val="20"/>
          <w:szCs w:val="20"/>
          <w:color w:val="auto"/>
        </w:rPr>
      </w:pPr>
      <w:r>
        <w:rPr>
          <w:rFonts w:ascii="SimSun" w:cs="SimSun" w:eastAsia="SimSun" w:hAnsi="SimSun"/>
          <w:sz w:val="19"/>
          <w:szCs w:val="19"/>
          <w:color w:val="221E1F"/>
        </w:rPr>
        <w:t>在企业中，无论是非财务人员还是财务人员都常常会有类似的困惑和问题。安越的非财课程从企业运营的财务逻辑入手，深入分析经营活动背后的财务本质，为非财务人员提供切实可行的财务分析方法，建立与财务沟通的良好平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1517650</wp:posOffset>
            </wp:positionH>
            <wp:positionV relativeFrom="paragraph">
              <wp:posOffset>537210</wp:posOffset>
            </wp:positionV>
            <wp:extent cx="3300730" cy="21590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extLst>
                    </a:blip>
                    <a:srcRect/>
                    <a:stretch>
                      <a:fillRect/>
                    </a:stretch>
                  </pic:blipFill>
                  <pic:spPr bwMode="auto">
                    <a:xfrm>
                      <a:off x="0" y="0"/>
                      <a:ext cx="3300730" cy="2159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tbl>
      <w:tblPr>
        <w:tblLayout w:type="fixed"/>
        <w:tblInd w:w="3740" w:type="dxa"/>
        <w:tblCellMar>
          <w:top w:w="0" w:type="dxa"/>
          <w:left w:w="0" w:type="dxa"/>
          <w:bottom w:w="0" w:type="dxa"/>
          <w:right w:w="0" w:type="dxa"/>
        </w:tblCellMar>
      </w:tblPr>
      <w:tr>
        <w:trPr>
          <w:trHeight w:val="468"/>
        </w:trPr>
        <w:tc>
          <w:tcPr>
            <w:tcW w:w="760" w:type="dxa"/>
            <w:vAlign w:val="bottom"/>
          </w:tcPr>
          <w:p>
            <w:pPr>
              <w:spacing w:after="0"/>
              <w:rPr>
                <w:sz w:val="24"/>
                <w:szCs w:val="24"/>
                <w:color w:val="auto"/>
              </w:rPr>
            </w:pPr>
          </w:p>
        </w:tc>
        <w:tc>
          <w:tcPr>
            <w:tcW w:w="1160" w:type="dxa"/>
            <w:vAlign w:val="bottom"/>
            <w:gridSpan w:val="3"/>
          </w:tcPr>
          <w:p>
            <w:pPr>
              <w:jc w:val="right"/>
              <w:ind w:right="580"/>
              <w:spacing w:after="0" w:line="194" w:lineRule="exact"/>
              <w:rPr>
                <w:sz w:val="20"/>
                <w:szCs w:val="20"/>
                <w:color w:val="auto"/>
              </w:rPr>
            </w:pPr>
            <w:r>
              <w:rPr>
                <w:rFonts w:ascii="SimSun" w:cs="SimSun" w:eastAsia="SimSun" w:hAnsi="SimSun"/>
                <w:sz w:val="17"/>
                <w:szCs w:val="17"/>
                <w:color w:val="auto"/>
              </w:rPr>
              <w:t>经营管</w:t>
            </w:r>
          </w:p>
        </w:tc>
        <w:tc>
          <w:tcPr>
            <w:tcW w:w="1740" w:type="dxa"/>
            <w:vAlign w:val="bottom"/>
          </w:tcPr>
          <w:p>
            <w:pPr>
              <w:spacing w:after="0"/>
              <w:rPr>
                <w:sz w:val="24"/>
                <w:szCs w:val="24"/>
                <w:color w:val="auto"/>
              </w:rPr>
            </w:pPr>
          </w:p>
        </w:tc>
        <w:tc>
          <w:tcPr>
            <w:tcW w:w="1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760" w:type="dxa"/>
            <w:vAlign w:val="bottom"/>
            <w:vMerge w:val="restart"/>
          </w:tcPr>
          <w:p>
            <w:pPr>
              <w:spacing w:after="0" w:line="194" w:lineRule="exact"/>
              <w:rPr>
                <w:sz w:val="20"/>
                <w:szCs w:val="20"/>
                <w:color w:val="auto"/>
              </w:rPr>
            </w:pPr>
            <w:r>
              <w:rPr>
                <w:rFonts w:ascii="SimSun" w:cs="SimSun" w:eastAsia="SimSun" w:hAnsi="SimSun"/>
                <w:sz w:val="17"/>
                <w:szCs w:val="17"/>
                <w:color w:val="auto"/>
              </w:rPr>
              <w:t>分</w:t>
            </w:r>
          </w:p>
        </w:tc>
        <w:tc>
          <w:tcPr>
            <w:tcW w:w="180" w:type="dxa"/>
            <w:vAlign w:val="bottom"/>
          </w:tcPr>
          <w:p>
            <w:pPr>
              <w:spacing w:after="0"/>
              <w:rPr>
                <w:sz w:val="24"/>
                <w:szCs w:val="24"/>
                <w:color w:val="auto"/>
              </w:rPr>
            </w:pPr>
          </w:p>
        </w:tc>
        <w:tc>
          <w:tcPr>
            <w:tcW w:w="980" w:type="dxa"/>
            <w:vAlign w:val="bottom"/>
            <w:gridSpan w:val="2"/>
          </w:tcPr>
          <w:p>
            <w:pPr>
              <w:jc w:val="right"/>
              <w:ind w:right="260"/>
              <w:spacing w:after="0" w:line="194" w:lineRule="exact"/>
              <w:rPr>
                <w:sz w:val="20"/>
                <w:szCs w:val="20"/>
                <w:color w:val="auto"/>
              </w:rPr>
            </w:pPr>
            <w:r>
              <w:rPr>
                <w:rFonts w:ascii="SimSun" w:cs="SimSun" w:eastAsia="SimSun" w:hAnsi="SimSun"/>
                <w:sz w:val="17"/>
                <w:szCs w:val="17"/>
                <w:color w:val="auto"/>
              </w:rPr>
              <w:t>风险管控</w:t>
            </w:r>
          </w:p>
        </w:tc>
        <w:tc>
          <w:tcPr>
            <w:tcW w:w="1740" w:type="dxa"/>
            <w:vAlign w:val="bottom"/>
          </w:tcPr>
          <w:p>
            <w:pPr>
              <w:ind w:left="260"/>
              <w:spacing w:after="0" w:line="194" w:lineRule="exact"/>
              <w:rPr>
                <w:sz w:val="20"/>
                <w:szCs w:val="20"/>
                <w:color w:val="auto"/>
              </w:rPr>
            </w:pPr>
            <w:r>
              <w:rPr>
                <w:rFonts w:ascii="SimSun" w:cs="SimSun" w:eastAsia="SimSun" w:hAnsi="SimSun"/>
                <w:sz w:val="17"/>
                <w:szCs w:val="17"/>
                <w:color w:val="auto"/>
              </w:rPr>
              <w:t>本</w:t>
            </w:r>
          </w:p>
        </w:tc>
        <w:tc>
          <w:tcPr>
            <w:tcW w:w="1980" w:type="dxa"/>
            <w:vAlign w:val="bottom"/>
            <w:vMerge w:val="restart"/>
          </w:tcPr>
          <w:p>
            <w:pPr>
              <w:ind w:left="820"/>
              <w:spacing w:after="0" w:line="229" w:lineRule="exact"/>
              <w:rPr>
                <w:sz w:val="20"/>
                <w:szCs w:val="20"/>
                <w:color w:val="auto"/>
              </w:rPr>
            </w:pPr>
            <w:r>
              <w:rPr>
                <w:rFonts w:ascii="SimSun" w:cs="SimSun" w:eastAsia="SimSun" w:hAnsi="SimSun"/>
                <w:sz w:val="20"/>
                <w:szCs w:val="20"/>
                <w:color w:val="221E1F"/>
                <w:w w:val="94"/>
              </w:rPr>
              <w:t>收获财务工具</w:t>
            </w:r>
          </w:p>
        </w:tc>
        <w:tc>
          <w:tcPr>
            <w:tcW w:w="0" w:type="dxa"/>
            <w:vAlign w:val="bottom"/>
          </w:tcPr>
          <w:p>
            <w:pPr>
              <w:spacing w:after="0"/>
              <w:rPr>
                <w:sz w:val="1"/>
                <w:szCs w:val="1"/>
                <w:color w:val="auto"/>
              </w:rPr>
            </w:pPr>
          </w:p>
        </w:tc>
      </w:tr>
      <w:tr>
        <w:trPr>
          <w:trHeight w:val="249"/>
        </w:trPr>
        <w:tc>
          <w:tcPr>
            <w:tcW w:w="760" w:type="dxa"/>
            <w:vAlign w:val="bottom"/>
            <w:vMerge w:val="continue"/>
          </w:tcPr>
          <w:p>
            <w:pPr>
              <w:spacing w:after="0"/>
              <w:rPr>
                <w:sz w:val="21"/>
                <w:szCs w:val="21"/>
                <w:color w:val="auto"/>
              </w:rPr>
            </w:pPr>
          </w:p>
        </w:tc>
        <w:tc>
          <w:tcPr>
            <w:tcW w:w="1160" w:type="dxa"/>
            <w:vAlign w:val="bottom"/>
            <w:gridSpan w:val="3"/>
            <w:vMerge w:val="restart"/>
          </w:tcPr>
          <w:p>
            <w:pPr>
              <w:jc w:val="right"/>
              <w:ind w:right="280"/>
              <w:spacing w:after="0" w:line="160" w:lineRule="exact"/>
              <w:rPr>
                <w:sz w:val="20"/>
                <w:szCs w:val="20"/>
                <w:color w:val="auto"/>
              </w:rPr>
            </w:pPr>
            <w:r>
              <w:rPr>
                <w:rFonts w:ascii="SimSun" w:cs="SimSun" w:eastAsia="SimSun" w:hAnsi="SimSun"/>
                <w:sz w:val="14"/>
                <w:szCs w:val="14"/>
                <w:color w:val="auto"/>
              </w:rPr>
              <w:t>资产负债表</w:t>
            </w:r>
          </w:p>
        </w:tc>
        <w:tc>
          <w:tcPr>
            <w:tcW w:w="1740" w:type="dxa"/>
            <w:vAlign w:val="bottom"/>
          </w:tcPr>
          <w:p>
            <w:pPr>
              <w:ind w:left="260"/>
              <w:spacing w:after="0" w:line="194" w:lineRule="exact"/>
              <w:rPr>
                <w:sz w:val="20"/>
                <w:szCs w:val="20"/>
                <w:color w:val="auto"/>
              </w:rPr>
            </w:pPr>
            <w:r>
              <w:rPr>
                <w:rFonts w:ascii="SimSun" w:cs="SimSun" w:eastAsia="SimSun" w:hAnsi="SimSun"/>
                <w:sz w:val="17"/>
                <w:szCs w:val="17"/>
                <w:color w:val="auto"/>
              </w:rPr>
              <w:t>资</w:t>
            </w:r>
          </w:p>
        </w:tc>
        <w:tc>
          <w:tcPr>
            <w:tcW w:w="19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19"/>
        </w:trPr>
        <w:tc>
          <w:tcPr>
            <w:tcW w:w="760" w:type="dxa"/>
            <w:vAlign w:val="bottom"/>
          </w:tcPr>
          <w:p>
            <w:pPr>
              <w:spacing w:after="0" w:line="194" w:lineRule="exact"/>
              <w:rPr>
                <w:sz w:val="20"/>
                <w:szCs w:val="20"/>
                <w:color w:val="auto"/>
              </w:rPr>
            </w:pPr>
            <w:r>
              <w:rPr>
                <w:rFonts w:ascii="SimSun" w:cs="SimSun" w:eastAsia="SimSun" w:hAnsi="SimSun"/>
                <w:sz w:val="17"/>
                <w:szCs w:val="17"/>
                <w:color w:val="auto"/>
              </w:rPr>
              <w:t>务</w:t>
            </w:r>
          </w:p>
        </w:tc>
        <w:tc>
          <w:tcPr>
            <w:tcW w:w="1160" w:type="dxa"/>
            <w:vAlign w:val="bottom"/>
            <w:gridSpan w:val="3"/>
            <w:vMerge w:val="continue"/>
          </w:tcPr>
          <w:p>
            <w:pPr>
              <w:spacing w:after="0"/>
              <w:rPr>
                <w:sz w:val="19"/>
                <w:szCs w:val="19"/>
                <w:color w:val="auto"/>
              </w:rPr>
            </w:pPr>
          </w:p>
        </w:tc>
        <w:tc>
          <w:tcPr>
            <w:tcW w:w="1740" w:type="dxa"/>
            <w:vAlign w:val="bottom"/>
          </w:tcPr>
          <w:p>
            <w:pPr>
              <w:ind w:left="260"/>
              <w:spacing w:after="0" w:line="194" w:lineRule="exact"/>
              <w:rPr>
                <w:sz w:val="20"/>
                <w:szCs w:val="20"/>
                <w:color w:val="auto"/>
              </w:rPr>
            </w:pPr>
            <w:r>
              <w:rPr>
                <w:rFonts w:ascii="SimSun" w:cs="SimSun" w:eastAsia="SimSun" w:hAnsi="SimSun"/>
                <w:sz w:val="17"/>
                <w:szCs w:val="17"/>
                <w:color w:val="auto"/>
              </w:rPr>
              <w:t>营</w:t>
            </w:r>
          </w:p>
        </w:tc>
        <w:tc>
          <w:tcPr>
            <w:tcW w:w="1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2"/>
        </w:trPr>
        <w:tc>
          <w:tcPr>
            <w:tcW w:w="760" w:type="dxa"/>
            <w:vAlign w:val="bottom"/>
            <w:vMerge w:val="restart"/>
          </w:tcPr>
          <w:p>
            <w:pPr>
              <w:spacing w:after="0" w:line="194" w:lineRule="exact"/>
              <w:rPr>
                <w:sz w:val="20"/>
                <w:szCs w:val="20"/>
                <w:color w:val="auto"/>
              </w:rPr>
            </w:pPr>
            <w:r>
              <w:rPr>
                <w:rFonts w:ascii="SimSun" w:cs="SimSun" w:eastAsia="SimSun" w:hAnsi="SimSun"/>
                <w:sz w:val="17"/>
                <w:szCs w:val="17"/>
                <w:color w:val="auto"/>
              </w:rPr>
              <w:t>财</w:t>
            </w:r>
          </w:p>
        </w:tc>
        <w:tc>
          <w:tcPr>
            <w:tcW w:w="180" w:type="dxa"/>
            <w:vAlign w:val="bottom"/>
          </w:tcPr>
          <w:p>
            <w:pPr>
              <w:spacing w:after="0"/>
              <w:rPr>
                <w:sz w:val="10"/>
                <w:szCs w:val="10"/>
                <w:color w:val="auto"/>
              </w:rPr>
            </w:pPr>
          </w:p>
        </w:tc>
        <w:tc>
          <w:tcPr>
            <w:tcW w:w="700" w:type="dxa"/>
            <w:vAlign w:val="bottom"/>
            <w:tcBorders>
              <w:bottom w:val="single" w:sz="8" w:color="252626"/>
            </w:tcBorders>
          </w:tcPr>
          <w:p>
            <w:pPr>
              <w:spacing w:after="0"/>
              <w:rPr>
                <w:sz w:val="10"/>
                <w:szCs w:val="10"/>
                <w:color w:val="auto"/>
              </w:rPr>
            </w:pPr>
          </w:p>
        </w:tc>
        <w:tc>
          <w:tcPr>
            <w:tcW w:w="280" w:type="dxa"/>
            <w:vAlign w:val="bottom"/>
            <w:vMerge w:val="restart"/>
          </w:tcPr>
          <w:p>
            <w:pPr>
              <w:spacing w:after="0"/>
              <w:rPr>
                <w:sz w:val="10"/>
                <w:szCs w:val="10"/>
                <w:color w:val="auto"/>
              </w:rPr>
            </w:pPr>
          </w:p>
        </w:tc>
        <w:tc>
          <w:tcPr>
            <w:tcW w:w="1740" w:type="dxa"/>
            <w:vAlign w:val="bottom"/>
            <w:vMerge w:val="restart"/>
          </w:tcPr>
          <w:p>
            <w:pPr>
              <w:ind w:left="260"/>
              <w:spacing w:after="0" w:line="194" w:lineRule="exact"/>
              <w:rPr>
                <w:sz w:val="20"/>
                <w:szCs w:val="20"/>
                <w:color w:val="auto"/>
              </w:rPr>
            </w:pPr>
            <w:r>
              <w:rPr>
                <w:rFonts w:ascii="SimSun" w:cs="SimSun" w:eastAsia="SimSun" w:hAnsi="SimSun"/>
                <w:sz w:val="17"/>
                <w:szCs w:val="17"/>
                <w:color w:val="auto"/>
              </w:rPr>
              <w:t>运</w:t>
            </w:r>
          </w:p>
        </w:tc>
        <w:tc>
          <w:tcPr>
            <w:tcW w:w="1980" w:type="dxa"/>
            <w:vAlign w:val="bottom"/>
            <w:vMerge w:val="restart"/>
          </w:tcPr>
          <w:p>
            <w:pPr>
              <w:ind w:left="820"/>
              <w:spacing w:after="0" w:line="229" w:lineRule="exact"/>
              <w:rPr>
                <w:sz w:val="20"/>
                <w:szCs w:val="20"/>
                <w:color w:val="auto"/>
              </w:rPr>
            </w:pPr>
            <w:r>
              <w:rPr>
                <w:rFonts w:ascii="SimSun" w:cs="SimSun" w:eastAsia="SimSun" w:hAnsi="SimSun"/>
                <w:sz w:val="20"/>
                <w:szCs w:val="20"/>
                <w:color w:val="221E1F"/>
                <w:w w:val="94"/>
              </w:rPr>
              <w:t>透视企业运营</w:t>
            </w:r>
          </w:p>
        </w:tc>
        <w:tc>
          <w:tcPr>
            <w:tcW w:w="0" w:type="dxa"/>
            <w:vAlign w:val="bottom"/>
          </w:tcPr>
          <w:p>
            <w:pPr>
              <w:spacing w:after="0"/>
              <w:rPr>
                <w:sz w:val="1"/>
                <w:szCs w:val="1"/>
                <w:color w:val="auto"/>
              </w:rPr>
            </w:pPr>
          </w:p>
        </w:tc>
      </w:tr>
      <w:tr>
        <w:trPr>
          <w:trHeight w:val="237"/>
        </w:trPr>
        <w:tc>
          <w:tcPr>
            <w:tcW w:w="760" w:type="dxa"/>
            <w:vAlign w:val="bottom"/>
            <w:vMerge w:val="continue"/>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ind w:right="25"/>
              <w:spacing w:after="0" w:line="160" w:lineRule="exact"/>
              <w:rPr>
                <w:sz w:val="20"/>
                <w:szCs w:val="20"/>
                <w:color w:val="auto"/>
              </w:rPr>
            </w:pPr>
            <w:r>
              <w:rPr>
                <w:rFonts w:ascii="SimSun" w:cs="SimSun" w:eastAsia="SimSun" w:hAnsi="SimSun"/>
                <w:sz w:val="14"/>
                <w:szCs w:val="14"/>
                <w:color w:val="auto"/>
              </w:rPr>
              <w:t>利润表</w:t>
            </w:r>
          </w:p>
        </w:tc>
        <w:tc>
          <w:tcPr>
            <w:tcW w:w="280" w:type="dxa"/>
            <w:vAlign w:val="bottom"/>
            <w:vMerge w:val="continue"/>
          </w:tcPr>
          <w:p>
            <w:pPr>
              <w:spacing w:after="0"/>
              <w:rPr>
                <w:sz w:val="20"/>
                <w:szCs w:val="20"/>
                <w:color w:val="auto"/>
              </w:rPr>
            </w:pPr>
          </w:p>
        </w:tc>
        <w:tc>
          <w:tcPr>
            <w:tcW w:w="1740" w:type="dxa"/>
            <w:vAlign w:val="bottom"/>
            <w:vMerge w:val="continue"/>
          </w:tcPr>
          <w:p>
            <w:pPr>
              <w:spacing w:after="0"/>
              <w:rPr>
                <w:sz w:val="20"/>
                <w:szCs w:val="20"/>
                <w:color w:val="auto"/>
              </w:rPr>
            </w:pPr>
          </w:p>
        </w:tc>
        <w:tc>
          <w:tcPr>
            <w:tcW w:w="19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63"/>
        </w:trPr>
        <w:tc>
          <w:tcPr>
            <w:tcW w:w="760" w:type="dxa"/>
            <w:vAlign w:val="bottom"/>
          </w:tcPr>
          <w:p>
            <w:pPr>
              <w:spacing w:after="0"/>
              <w:rPr>
                <w:sz w:val="5"/>
                <w:szCs w:val="5"/>
                <w:color w:val="auto"/>
              </w:rPr>
            </w:pPr>
          </w:p>
        </w:tc>
        <w:tc>
          <w:tcPr>
            <w:tcW w:w="180" w:type="dxa"/>
            <w:vAlign w:val="bottom"/>
            <w:vMerge w:val="restart"/>
          </w:tcPr>
          <w:p>
            <w:pPr>
              <w:spacing w:after="0"/>
              <w:rPr>
                <w:sz w:val="5"/>
                <w:szCs w:val="5"/>
                <w:color w:val="auto"/>
              </w:rPr>
            </w:pPr>
          </w:p>
        </w:tc>
        <w:tc>
          <w:tcPr>
            <w:tcW w:w="700" w:type="dxa"/>
            <w:vAlign w:val="bottom"/>
            <w:tcBorders>
              <w:bottom w:val="single" w:sz="8" w:color="252626"/>
            </w:tcBorders>
          </w:tcPr>
          <w:p>
            <w:pPr>
              <w:spacing w:after="0"/>
              <w:rPr>
                <w:sz w:val="5"/>
                <w:szCs w:val="5"/>
                <w:color w:val="auto"/>
              </w:rPr>
            </w:pPr>
          </w:p>
        </w:tc>
        <w:tc>
          <w:tcPr>
            <w:tcW w:w="280" w:type="dxa"/>
            <w:vAlign w:val="bottom"/>
            <w:vMerge w:val="restart"/>
          </w:tcPr>
          <w:p>
            <w:pPr>
              <w:spacing w:after="0"/>
              <w:rPr>
                <w:sz w:val="5"/>
                <w:szCs w:val="5"/>
                <w:color w:val="auto"/>
              </w:rPr>
            </w:pPr>
          </w:p>
        </w:tc>
        <w:tc>
          <w:tcPr>
            <w:tcW w:w="1740" w:type="dxa"/>
            <w:vAlign w:val="bottom"/>
          </w:tcPr>
          <w:p>
            <w:pPr>
              <w:spacing w:after="0"/>
              <w:rPr>
                <w:sz w:val="5"/>
                <w:szCs w:val="5"/>
                <w:color w:val="auto"/>
              </w:rPr>
            </w:pPr>
          </w:p>
        </w:tc>
        <w:tc>
          <w:tcPr>
            <w:tcW w:w="1980" w:type="dxa"/>
            <w:vAlign w:val="bottom"/>
            <w:vMerge w:val="restart"/>
          </w:tcPr>
          <w:p>
            <w:pPr>
              <w:ind w:left="820"/>
              <w:spacing w:after="0" w:line="229" w:lineRule="exact"/>
              <w:rPr>
                <w:sz w:val="20"/>
                <w:szCs w:val="20"/>
                <w:color w:val="auto"/>
              </w:rPr>
            </w:pPr>
            <w:r>
              <w:rPr>
                <w:rFonts w:ascii="SimSun" w:cs="SimSun" w:eastAsia="SimSun" w:hAnsi="SimSun"/>
                <w:sz w:val="20"/>
                <w:szCs w:val="20"/>
                <w:color w:val="221E1F"/>
                <w:w w:val="94"/>
              </w:rPr>
              <w:t>提升经营绩效</w:t>
            </w:r>
          </w:p>
        </w:tc>
        <w:tc>
          <w:tcPr>
            <w:tcW w:w="0" w:type="dxa"/>
            <w:vAlign w:val="bottom"/>
          </w:tcPr>
          <w:p>
            <w:pPr>
              <w:spacing w:after="0"/>
              <w:rPr>
                <w:sz w:val="1"/>
                <w:szCs w:val="1"/>
                <w:color w:val="auto"/>
              </w:rPr>
            </w:pPr>
          </w:p>
        </w:tc>
      </w:tr>
      <w:tr>
        <w:trPr>
          <w:trHeight w:val="487"/>
        </w:trPr>
        <w:tc>
          <w:tcPr>
            <w:tcW w:w="760" w:type="dxa"/>
            <w:vAlign w:val="bottom"/>
          </w:tcPr>
          <w:p>
            <w:pPr>
              <w:spacing w:after="0"/>
              <w:rPr>
                <w:sz w:val="24"/>
                <w:szCs w:val="24"/>
                <w:color w:val="auto"/>
              </w:rPr>
            </w:pPr>
          </w:p>
        </w:tc>
        <w:tc>
          <w:tcPr>
            <w:tcW w:w="180" w:type="dxa"/>
            <w:vAlign w:val="bottom"/>
            <w:vMerge w:val="continue"/>
          </w:tcPr>
          <w:p>
            <w:pPr>
              <w:spacing w:after="0"/>
              <w:rPr>
                <w:sz w:val="24"/>
                <w:szCs w:val="24"/>
                <w:color w:val="auto"/>
              </w:rPr>
            </w:pPr>
          </w:p>
        </w:tc>
        <w:tc>
          <w:tcPr>
            <w:tcW w:w="700" w:type="dxa"/>
            <w:vAlign w:val="bottom"/>
          </w:tcPr>
          <w:p>
            <w:pPr>
              <w:jc w:val="right"/>
              <w:spacing w:after="0" w:line="160" w:lineRule="exact"/>
              <w:rPr>
                <w:sz w:val="20"/>
                <w:szCs w:val="20"/>
                <w:color w:val="auto"/>
              </w:rPr>
            </w:pPr>
            <w:r>
              <w:rPr>
                <w:rFonts w:ascii="SimSun" w:cs="SimSun" w:eastAsia="SimSun" w:hAnsi="SimSun"/>
                <w:sz w:val="14"/>
                <w:szCs w:val="14"/>
                <w:color w:val="auto"/>
                <w:w w:val="97"/>
              </w:rPr>
              <w:t>现金流量表</w:t>
            </w:r>
          </w:p>
        </w:tc>
        <w:tc>
          <w:tcPr>
            <w:tcW w:w="280" w:type="dxa"/>
            <w:vAlign w:val="bottom"/>
            <w:vMerge w:val="continue"/>
          </w:tcPr>
          <w:p>
            <w:pPr>
              <w:spacing w:after="0"/>
              <w:rPr>
                <w:sz w:val="24"/>
                <w:szCs w:val="24"/>
                <w:color w:val="auto"/>
              </w:rPr>
            </w:pPr>
          </w:p>
        </w:tc>
        <w:tc>
          <w:tcPr>
            <w:tcW w:w="1740" w:type="dxa"/>
            <w:vAlign w:val="bottom"/>
          </w:tcPr>
          <w:p>
            <w:pPr>
              <w:spacing w:after="0"/>
              <w:rPr>
                <w:sz w:val="24"/>
                <w:szCs w:val="24"/>
                <w:color w:val="auto"/>
              </w:rPr>
            </w:pPr>
          </w:p>
        </w:tc>
        <w:tc>
          <w:tcPr>
            <w:tcW w:w="19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87" w:lineRule="exact"/>
        <w:rPr>
          <w:sz w:val="20"/>
          <w:szCs w:val="20"/>
          <w:color w:val="auto"/>
        </w:rPr>
      </w:pPr>
    </w:p>
    <w:p>
      <w:pPr>
        <w:ind w:left="4320"/>
        <w:spacing w:after="0" w:line="183" w:lineRule="exact"/>
        <w:rPr>
          <w:sz w:val="20"/>
          <w:szCs w:val="20"/>
          <w:color w:val="auto"/>
        </w:rPr>
      </w:pPr>
      <w:r>
        <w:rPr>
          <w:rFonts w:ascii="SimSun" w:cs="SimSun" w:eastAsia="SimSun" w:hAnsi="SimSun"/>
          <w:sz w:val="16"/>
          <w:szCs w:val="16"/>
          <w:color w:val="auto"/>
        </w:rPr>
        <w:t>经营的视角看财报</w:t>
      </w:r>
    </w:p>
    <w:p>
      <w:pPr>
        <w:spacing w:after="0" w:line="231" w:lineRule="exact"/>
        <w:rPr>
          <w:sz w:val="20"/>
          <w:szCs w:val="20"/>
          <w:color w:val="auto"/>
        </w:rPr>
      </w:pPr>
    </w:p>
    <w:p>
      <w:pPr>
        <w:ind w:left="4320"/>
        <w:spacing w:after="0" w:line="229" w:lineRule="exact"/>
        <w:rPr>
          <w:sz w:val="20"/>
          <w:szCs w:val="20"/>
          <w:color w:val="auto"/>
        </w:rPr>
      </w:pPr>
      <w:r>
        <w:rPr>
          <w:rFonts w:ascii="SimSun" w:cs="SimSun" w:eastAsia="SimSun" w:hAnsi="SimSun"/>
          <w:sz w:val="20"/>
          <w:szCs w:val="20"/>
          <w:color w:val="auto"/>
        </w:rPr>
        <w:t>销售收入为起点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72390</wp:posOffset>
                </wp:positionH>
                <wp:positionV relativeFrom="paragraph">
                  <wp:posOffset>862965</wp:posOffset>
                </wp:positionV>
                <wp:extent cx="677989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79895" cy="4763"/>
                        </a:xfrm>
                        <a:prstGeom prst="line">
                          <a:avLst/>
                        </a:prstGeom>
                        <a:solidFill>
                          <a:srgbClr val="FFFFFF"/>
                        </a:solidFill>
                        <a:ln w="6350">
                          <a:solidFill>
                            <a:srgbClr val="087887"/>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pt,67.95pt" to="539.55pt,67.95pt" o:allowincell="f" strokecolor="#087887" strokeweight="0.5pt"/>
            </w:pict>
          </mc:Fallback>
        </mc:AlternateContent>
      </w:r>
    </w:p>
    <w:p>
      <w:pPr>
        <w:sectPr>
          <w:pgSz w:w="11900" w:h="16838" w:orient="portrait"/>
          <w:cols w:equalWidth="0" w:num="1">
            <w:col w:w="10800"/>
          </w:cols>
          <w:pgMar w:left="500" w:top="1218" w:right="6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spacing w:after="0" w:line="268" w:lineRule="exact"/>
        <w:tabs>
          <w:tab w:leader="none" w:pos="5220" w:val="left"/>
          <w:tab w:leader="none" w:pos="9080" w:val="left"/>
        </w:tabs>
        <w:rPr>
          <w:sz w:val="20"/>
          <w:szCs w:val="20"/>
          <w:color w:val="auto"/>
        </w:rPr>
      </w:pPr>
      <w:r>
        <w:rPr>
          <w:rFonts w:ascii="SimSun" w:cs="SimSun" w:eastAsia="SimSun" w:hAnsi="SimSun"/>
          <w:sz w:val="20"/>
          <w:szCs w:val="20"/>
          <w:color w:val="323333"/>
        </w:rPr>
        <w:t>《非财务经理的财务课程</w:t>
      </w:r>
      <w:r>
        <w:rPr>
          <w:rFonts w:ascii="Arial Unicode MS" w:cs="Arial Unicode MS" w:eastAsia="Arial Unicode MS" w:hAnsi="Arial Unicode MS"/>
          <w:sz w:val="20"/>
          <w:szCs w:val="20"/>
          <w:color w:val="323333"/>
        </w:rPr>
        <w:t>(</w:t>
      </w:r>
      <w:r>
        <w:rPr>
          <w:rFonts w:ascii="SimSun" w:cs="SimSun" w:eastAsia="SimSun" w:hAnsi="SimSun"/>
          <w:sz w:val="20"/>
          <w:szCs w:val="20"/>
          <w:color w:val="323333"/>
        </w:rPr>
        <w:t>精要版</w:t>
      </w:r>
      <w:r>
        <w:rPr>
          <w:rFonts w:ascii="Arial Unicode MS" w:cs="Arial Unicode MS" w:eastAsia="Arial Unicode MS" w:hAnsi="Arial Unicode MS"/>
          <w:sz w:val="20"/>
          <w:szCs w:val="20"/>
          <w:color w:val="323333"/>
        </w:rPr>
        <w:t>)</w:t>
      </w:r>
      <w:r>
        <w:rPr>
          <w:rFonts w:ascii="SimSun" w:cs="SimSun" w:eastAsia="SimSun" w:hAnsi="SimSun"/>
          <w:sz w:val="20"/>
          <w:szCs w:val="20"/>
          <w:color w:val="323333"/>
        </w:rPr>
        <w:t>》</w:t>
      </w:r>
      <w:r>
        <w:rPr>
          <w:sz w:val="20"/>
          <w:szCs w:val="20"/>
          <w:color w:val="auto"/>
        </w:rPr>
        <w:tab/>
      </w:r>
      <w:r>
        <w:rPr>
          <w:rFonts w:ascii="Arial" w:cs="Arial" w:eastAsia="Arial" w:hAnsi="Arial"/>
          <w:sz w:val="20"/>
          <w:szCs w:val="20"/>
          <w:color w:val="231815"/>
        </w:rPr>
        <w:t>01</w:t>
      </w:r>
      <w:r>
        <w:rPr>
          <w:sz w:val="20"/>
          <w:szCs w:val="20"/>
          <w:color w:val="auto"/>
        </w:rPr>
        <w:tab/>
      </w:r>
      <w:r>
        <w:rPr>
          <w:rFonts w:ascii="SimSun" w:cs="SimSun" w:eastAsia="SimSun" w:hAnsi="SimSun"/>
          <w:sz w:val="19"/>
          <w:szCs w:val="19"/>
          <w:color w:val="323333"/>
        </w:rPr>
        <w:t>选择安越 因为专业</w:t>
      </w:r>
    </w:p>
    <w:p>
      <w:pPr>
        <w:sectPr>
          <w:pgSz w:w="11900" w:h="16838" w:orient="portrait"/>
          <w:cols w:equalWidth="0" w:num="1">
            <w:col w:w="10800"/>
          </w:cols>
          <w:pgMar w:left="500" w:top="1218" w:right="606" w:bottom="0" w:gutter="0" w:footer="0" w:header="0"/>
          <w:type w:val="continuous"/>
        </w:sectPr>
      </w:pPr>
    </w:p>
    <w:bookmarkStart w:id="2" w:name="page3"/>
    <w:bookmarkEnd w:id="2"/>
    <w:p>
      <w:pPr>
        <w:spacing w:after="0" w:line="-229" w:lineRule="auto"/>
        <w:tabs>
          <w:tab w:leader="none" w:pos="5220" w:val="left"/>
          <w:tab w:leader="none" w:pos="9080" w:val="left"/>
        </w:tabs>
        <w:framePr w:w="1580" w:h="362" w:wrap="auto" w:vAnchor="page" w:hAnchor="page" w:x="9460" w:y="13936"/>
        <w:rPr>
          <w:rFonts w:ascii="SimSun" w:cs="SimSun" w:eastAsia="SimSun" w:hAnsi="SimSun"/>
          <w:sz w:val="20"/>
          <w:szCs w:val="20"/>
          <w:color w:val="221E1F"/>
        </w:rPr>
      </w:pPr>
      <w:r>
        <w:rPr>
          <w:rFonts w:ascii="SimSun" w:cs="SimSun" w:eastAsia="SimSun" w:hAnsi="SimSun"/>
          <w:sz w:val="20"/>
          <w:szCs w:val="20"/>
          <w:color w:val="221E1F"/>
        </w:rPr>
        <w:t>华东医药 李先生</w:t>
      </w:r>
    </w:p>
    <w:p>
      <w:pPr>
        <w:spacing w:after="0" w:line="-229" w:lineRule="auto"/>
        <w:tabs>
          <w:tab w:leader="none" w:pos="5220" w:val="left"/>
          <w:tab w:leader="none" w:pos="9080" w:val="left"/>
        </w:tabs>
        <w:framePr w:w="2120" w:h="362" w:wrap="auto" w:vAnchor="page" w:hAnchor="page" w:x="8940" w:y="10359"/>
        <w:rPr>
          <w:rFonts w:ascii="SimSun" w:cs="SimSun" w:eastAsia="SimSun" w:hAnsi="SimSun"/>
          <w:sz w:val="20"/>
          <w:szCs w:val="20"/>
          <w:color w:val="221E1F"/>
        </w:rPr>
      </w:pPr>
      <w:r>
        <w:rPr>
          <w:rFonts w:ascii="SimSun" w:cs="SimSun" w:eastAsia="SimSun" w:hAnsi="SimSun"/>
          <w:sz w:val="20"/>
          <w:szCs w:val="20"/>
          <w:color w:val="221E1F"/>
        </w:rPr>
        <w:t>航天科技研究院 王先生</w:t>
      </w:r>
    </w:p>
    <w:p>
      <w:pPr>
        <w:spacing w:after="0" w:line="200" w:lineRule="exact"/>
        <w:rPr>
          <w:rFonts w:ascii="SimSun" w:cs="SimSun" w:eastAsia="SimSun" w:hAnsi="SimSun"/>
          <w:sz w:val="20"/>
          <w:szCs w:val="20"/>
          <w:color w:val="221E1F"/>
        </w:rPr>
      </w:pPr>
      <w:r>
        <w:rPr>
          <w:rFonts w:ascii="SimSun" w:cs="SimSun" w:eastAsia="SimSun" w:hAnsi="SimSun"/>
          <w:sz w:val="20"/>
          <w:szCs w:val="20"/>
          <w:color w:val="221E1F"/>
        </w:rPr>
        <w:drawing>
          <wp:anchor simplePos="0" relativeHeight="251657728" behindDoc="1" locked="0" layoutInCell="0" allowOverlap="1">
            <wp:simplePos x="0" y="0"/>
            <wp:positionH relativeFrom="page">
              <wp:posOffset>0</wp:posOffset>
            </wp:positionH>
            <wp:positionV relativeFrom="page">
              <wp:posOffset>0</wp:posOffset>
            </wp:positionV>
            <wp:extent cx="7560310" cy="4573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560310" cy="4573270"/>
                    </a:xfrm>
                    <a:prstGeom prst="rect">
                      <a:avLst/>
                    </a:prstGeom>
                    <a:noFill/>
                  </pic:spPr>
                </pic:pic>
              </a:graphicData>
            </a:graphic>
          </wp:anchor>
        </w:drawing>
      </w:r>
    </w:p>
    <w:p>
      <w:pPr>
        <w:spacing w:after="0" w:line="200" w:lineRule="exact"/>
        <w:rPr>
          <w:rFonts w:ascii="SimSun" w:cs="SimSun" w:eastAsia="SimSun" w:hAnsi="SimSun"/>
          <w:sz w:val="20"/>
          <w:szCs w:val="20"/>
          <w:color w:val="221E1F"/>
        </w:rPr>
      </w:pPr>
    </w:p>
    <w:p>
      <w:pPr>
        <w:spacing w:after="0" w:line="368" w:lineRule="exact"/>
        <w:rPr>
          <w:rFonts w:ascii="SimSun" w:cs="SimSun" w:eastAsia="SimSun" w:hAnsi="SimSun"/>
          <w:sz w:val="20"/>
          <w:szCs w:val="20"/>
          <w:color w:val="221E1F"/>
        </w:rPr>
      </w:pPr>
    </w:p>
    <w:tbl>
      <w:tblPr>
        <w:tblLayout w:type="fixed"/>
        <w:tblInd w:w="500" w:type="dxa"/>
        <w:tblCellMar>
          <w:top w:w="0" w:type="dxa"/>
          <w:left w:w="0" w:type="dxa"/>
          <w:bottom w:w="0" w:type="dxa"/>
          <w:right w:w="0" w:type="dxa"/>
        </w:tblCellMar>
      </w:tblPr>
      <w:tr>
        <w:trPr>
          <w:trHeight w:val="1238"/>
        </w:trPr>
        <w:tc>
          <w:tcPr>
            <w:tcW w:w="1040" w:type="dxa"/>
            <w:vAlign w:val="bottom"/>
            <w:shd w:val="clear" w:color="auto" w:fill="1E8085"/>
          </w:tcPr>
          <w:p>
            <w:pPr>
              <w:spacing w:after="0"/>
              <w:rPr>
                <w:sz w:val="24"/>
                <w:szCs w:val="24"/>
                <w:color w:val="auto"/>
              </w:rPr>
            </w:pPr>
          </w:p>
        </w:tc>
        <w:tc>
          <w:tcPr>
            <w:tcW w:w="3760" w:type="dxa"/>
            <w:vAlign w:val="bottom"/>
            <w:gridSpan w:val="2"/>
            <w:shd w:val="clear" w:color="auto" w:fill="1E8085"/>
          </w:tcPr>
          <w:p>
            <w:pPr>
              <w:spacing w:after="0" w:line="340" w:lineRule="exact"/>
              <w:rPr>
                <w:sz w:val="20"/>
                <w:szCs w:val="20"/>
                <w:color w:val="auto"/>
              </w:rPr>
            </w:pPr>
            <w:r>
              <w:rPr>
                <w:rFonts w:ascii="SimSun" w:cs="SimSun" w:eastAsia="SimSun" w:hAnsi="SimSun"/>
                <w:sz w:val="28"/>
                <w:szCs w:val="28"/>
                <w:color w:val="FFFFFF"/>
              </w:rPr>
              <w:t>培训对象</w:t>
            </w:r>
            <w:r>
              <w:rPr>
                <w:rFonts w:ascii="Arial" w:cs="Arial" w:eastAsia="Arial" w:hAnsi="Arial"/>
                <w:sz w:val="22"/>
                <w:szCs w:val="22"/>
                <w:color w:val="FFFFFF"/>
              </w:rPr>
              <w:t xml:space="preserve"> TARGET AUDIENCE</w:t>
            </w:r>
          </w:p>
        </w:tc>
        <w:tc>
          <w:tcPr>
            <w:tcW w:w="5420" w:type="dxa"/>
            <w:vAlign w:val="bottom"/>
            <w:gridSpan w:val="3"/>
            <w:shd w:val="clear" w:color="auto" w:fill="1E8085"/>
          </w:tcPr>
          <w:p>
            <w:pPr>
              <w:ind w:left="460"/>
              <w:spacing w:after="0" w:line="340" w:lineRule="exact"/>
              <w:rPr>
                <w:sz w:val="20"/>
                <w:szCs w:val="20"/>
                <w:color w:val="auto"/>
              </w:rPr>
            </w:pPr>
            <w:r>
              <w:rPr>
                <w:rFonts w:ascii="SimSun" w:cs="SimSun" w:eastAsia="SimSun" w:hAnsi="SimSun"/>
                <w:sz w:val="28"/>
                <w:szCs w:val="28"/>
                <w:color w:val="FFFFFF"/>
              </w:rPr>
              <w:t>课程收益</w:t>
            </w:r>
            <w:r>
              <w:rPr>
                <w:rFonts w:ascii="Arial" w:cs="Arial" w:eastAsia="Arial" w:hAnsi="Arial"/>
                <w:sz w:val="22"/>
                <w:szCs w:val="22"/>
                <w:color w:val="FFFFFF"/>
              </w:rPr>
              <w:t xml:space="preserve"> KEY BENEFITS</w:t>
            </w:r>
          </w:p>
        </w:tc>
        <w:tc>
          <w:tcPr>
            <w:tcW w:w="0" w:type="dxa"/>
            <w:vAlign w:val="bottom"/>
          </w:tcPr>
          <w:p>
            <w:pPr>
              <w:spacing w:after="0"/>
              <w:rPr>
                <w:sz w:val="1"/>
                <w:szCs w:val="1"/>
                <w:color w:val="auto"/>
              </w:rPr>
            </w:pPr>
          </w:p>
        </w:tc>
      </w:tr>
      <w:tr>
        <w:trPr>
          <w:trHeight w:val="262"/>
        </w:trPr>
        <w:tc>
          <w:tcPr>
            <w:tcW w:w="1040" w:type="dxa"/>
            <w:vAlign w:val="bottom"/>
            <w:tcBorders>
              <w:bottom w:val="single" w:sz="8" w:color="1E8085"/>
            </w:tcBorders>
            <w:shd w:val="clear" w:color="auto" w:fill="1E8085"/>
          </w:tcPr>
          <w:p>
            <w:pPr>
              <w:spacing w:after="0"/>
              <w:rPr>
                <w:sz w:val="22"/>
                <w:szCs w:val="22"/>
                <w:color w:val="auto"/>
              </w:rPr>
            </w:pPr>
          </w:p>
        </w:tc>
        <w:tc>
          <w:tcPr>
            <w:tcW w:w="100" w:type="dxa"/>
            <w:vAlign w:val="bottom"/>
            <w:tcBorders>
              <w:bottom w:val="single" w:sz="8" w:color="1E8085"/>
            </w:tcBorders>
            <w:shd w:val="clear" w:color="auto" w:fill="1E8085"/>
          </w:tcPr>
          <w:p>
            <w:pPr>
              <w:spacing w:after="0"/>
              <w:rPr>
                <w:sz w:val="22"/>
                <w:szCs w:val="22"/>
                <w:color w:val="auto"/>
              </w:rPr>
            </w:pPr>
          </w:p>
        </w:tc>
        <w:tc>
          <w:tcPr>
            <w:tcW w:w="3660" w:type="dxa"/>
            <w:vAlign w:val="bottom"/>
            <w:tcBorders>
              <w:bottom w:val="single" w:sz="8" w:color="1E8085"/>
            </w:tcBorders>
            <w:vMerge w:val="restart"/>
            <w:shd w:val="clear" w:color="auto" w:fill="1E8085"/>
          </w:tcPr>
          <w:p>
            <w:pPr>
              <w:ind w:left="140"/>
              <w:spacing w:after="0" w:line="229" w:lineRule="exact"/>
              <w:rPr>
                <w:sz w:val="20"/>
                <w:szCs w:val="20"/>
                <w:color w:val="auto"/>
              </w:rPr>
            </w:pPr>
            <w:r>
              <w:rPr>
                <w:rFonts w:ascii="SimSun" w:cs="SimSun" w:eastAsia="SimSun" w:hAnsi="SimSun"/>
                <w:sz w:val="20"/>
                <w:szCs w:val="20"/>
                <w:color w:val="FFFFFF"/>
              </w:rPr>
              <w:t>企业高层管理人员</w:t>
            </w:r>
          </w:p>
        </w:tc>
        <w:tc>
          <w:tcPr>
            <w:tcW w:w="540" w:type="dxa"/>
            <w:vAlign w:val="bottom"/>
            <w:tcBorders>
              <w:bottom w:val="single" w:sz="8" w:color="1E8085"/>
            </w:tcBorders>
            <w:shd w:val="clear" w:color="auto" w:fill="1E8085"/>
          </w:tcPr>
          <w:p>
            <w:pPr>
              <w:spacing w:after="0"/>
              <w:rPr>
                <w:sz w:val="22"/>
                <w:szCs w:val="22"/>
                <w:color w:val="auto"/>
              </w:rPr>
            </w:pPr>
          </w:p>
        </w:tc>
        <w:tc>
          <w:tcPr>
            <w:tcW w:w="100" w:type="dxa"/>
            <w:vAlign w:val="bottom"/>
            <w:shd w:val="clear" w:color="auto" w:fill="1E8085"/>
          </w:tcPr>
          <w:p>
            <w:pPr>
              <w:spacing w:after="0"/>
              <w:rPr>
                <w:sz w:val="22"/>
                <w:szCs w:val="22"/>
                <w:color w:val="auto"/>
              </w:rPr>
            </w:pPr>
          </w:p>
        </w:tc>
        <w:tc>
          <w:tcPr>
            <w:tcW w:w="4780" w:type="dxa"/>
            <w:vAlign w:val="bottom"/>
            <w:tcBorders>
              <w:bottom w:val="single" w:sz="8" w:color="1E8085"/>
            </w:tcBorders>
            <w:vMerge w:val="restart"/>
            <w:shd w:val="clear" w:color="auto" w:fill="1E8085"/>
          </w:tcPr>
          <w:p>
            <w:pPr>
              <w:ind w:left="120"/>
              <w:spacing w:after="0" w:line="229" w:lineRule="exact"/>
              <w:rPr>
                <w:sz w:val="20"/>
                <w:szCs w:val="20"/>
                <w:color w:val="auto"/>
              </w:rPr>
            </w:pPr>
            <w:r>
              <w:rPr>
                <w:rFonts w:ascii="SimSun" w:cs="SimSun" w:eastAsia="SimSun" w:hAnsi="SimSun"/>
                <w:sz w:val="20"/>
                <w:szCs w:val="20"/>
                <w:color w:val="FFFFFF"/>
              </w:rPr>
              <w:t>【全面系统认识财务】树立财务管理意</w:t>
            </w:r>
          </w:p>
        </w:tc>
        <w:tc>
          <w:tcPr>
            <w:tcW w:w="0" w:type="dxa"/>
            <w:vAlign w:val="bottom"/>
          </w:tcPr>
          <w:p>
            <w:pPr>
              <w:spacing w:after="0"/>
              <w:rPr>
                <w:sz w:val="1"/>
                <w:szCs w:val="1"/>
                <w:color w:val="auto"/>
              </w:rPr>
            </w:pPr>
          </w:p>
        </w:tc>
      </w:tr>
      <w:tr>
        <w:trPr>
          <w:trHeight w:val="61"/>
        </w:trPr>
        <w:tc>
          <w:tcPr>
            <w:tcW w:w="1040" w:type="dxa"/>
            <w:vAlign w:val="bottom"/>
            <w:shd w:val="clear" w:color="auto" w:fill="1E8085"/>
          </w:tcPr>
          <w:p>
            <w:pPr>
              <w:spacing w:after="0"/>
              <w:rPr>
                <w:sz w:val="5"/>
                <w:szCs w:val="5"/>
                <w:color w:val="auto"/>
              </w:rPr>
            </w:pPr>
          </w:p>
        </w:tc>
        <w:tc>
          <w:tcPr>
            <w:tcW w:w="100" w:type="dxa"/>
            <w:vAlign w:val="bottom"/>
          </w:tcPr>
          <w:p>
            <w:pPr>
              <w:spacing w:after="0"/>
              <w:rPr>
                <w:sz w:val="5"/>
                <w:szCs w:val="5"/>
                <w:color w:val="auto"/>
              </w:rPr>
            </w:pPr>
          </w:p>
        </w:tc>
        <w:tc>
          <w:tcPr>
            <w:tcW w:w="3660" w:type="dxa"/>
            <w:vAlign w:val="bottom"/>
            <w:vMerge w:val="continue"/>
            <w:shd w:val="clear" w:color="auto" w:fill="1E8085"/>
          </w:tcPr>
          <w:p>
            <w:pPr>
              <w:spacing w:after="0"/>
              <w:rPr>
                <w:sz w:val="5"/>
                <w:szCs w:val="5"/>
                <w:color w:val="auto"/>
              </w:rPr>
            </w:pPr>
          </w:p>
        </w:tc>
        <w:tc>
          <w:tcPr>
            <w:tcW w:w="540" w:type="dxa"/>
            <w:vAlign w:val="bottom"/>
            <w:shd w:val="clear" w:color="auto" w:fill="1E8085"/>
          </w:tcPr>
          <w:p>
            <w:pPr>
              <w:spacing w:after="0"/>
              <w:rPr>
                <w:sz w:val="5"/>
                <w:szCs w:val="5"/>
                <w:color w:val="auto"/>
              </w:rPr>
            </w:pPr>
          </w:p>
        </w:tc>
        <w:tc>
          <w:tcPr>
            <w:tcW w:w="100" w:type="dxa"/>
            <w:vAlign w:val="bottom"/>
          </w:tcPr>
          <w:p>
            <w:pPr>
              <w:spacing w:after="0"/>
              <w:rPr>
                <w:sz w:val="5"/>
                <w:szCs w:val="5"/>
                <w:color w:val="auto"/>
              </w:rPr>
            </w:pPr>
          </w:p>
        </w:tc>
        <w:tc>
          <w:tcPr>
            <w:tcW w:w="4780" w:type="dxa"/>
            <w:vAlign w:val="bottom"/>
            <w:vMerge w:val="continue"/>
            <w:shd w:val="clear" w:color="auto" w:fill="1E8085"/>
          </w:tcPr>
          <w:p>
            <w:pPr>
              <w:spacing w:after="0"/>
              <w:rPr>
                <w:sz w:val="5"/>
                <w:szCs w:val="5"/>
                <w:color w:val="auto"/>
              </w:rPr>
            </w:pPr>
          </w:p>
        </w:tc>
        <w:tc>
          <w:tcPr>
            <w:tcW w:w="0" w:type="dxa"/>
            <w:vAlign w:val="bottom"/>
          </w:tcPr>
          <w:p>
            <w:pPr>
              <w:spacing w:after="0"/>
              <w:rPr>
                <w:sz w:val="1"/>
                <w:szCs w:val="1"/>
                <w:color w:val="auto"/>
              </w:rPr>
            </w:pPr>
          </w:p>
        </w:tc>
      </w:tr>
      <w:tr>
        <w:trPr>
          <w:trHeight w:val="43"/>
        </w:trPr>
        <w:tc>
          <w:tcPr>
            <w:tcW w:w="1040" w:type="dxa"/>
            <w:vAlign w:val="bottom"/>
            <w:shd w:val="clear" w:color="auto" w:fill="1E8085"/>
          </w:tcPr>
          <w:p>
            <w:pPr>
              <w:spacing w:after="0"/>
              <w:rPr>
                <w:sz w:val="3"/>
                <w:szCs w:val="3"/>
                <w:color w:val="auto"/>
              </w:rPr>
            </w:pPr>
          </w:p>
        </w:tc>
        <w:tc>
          <w:tcPr>
            <w:tcW w:w="100" w:type="dxa"/>
            <w:vAlign w:val="bottom"/>
          </w:tcPr>
          <w:p>
            <w:pPr>
              <w:spacing w:after="0"/>
              <w:rPr>
                <w:sz w:val="3"/>
                <w:szCs w:val="3"/>
                <w:color w:val="auto"/>
              </w:rPr>
            </w:pPr>
          </w:p>
        </w:tc>
        <w:tc>
          <w:tcPr>
            <w:tcW w:w="3660" w:type="dxa"/>
            <w:vAlign w:val="bottom"/>
            <w:shd w:val="clear" w:color="auto" w:fill="1E8085"/>
          </w:tcPr>
          <w:p>
            <w:pPr>
              <w:spacing w:after="0"/>
              <w:rPr>
                <w:sz w:val="3"/>
                <w:szCs w:val="3"/>
                <w:color w:val="auto"/>
              </w:rPr>
            </w:pPr>
          </w:p>
        </w:tc>
        <w:tc>
          <w:tcPr>
            <w:tcW w:w="540" w:type="dxa"/>
            <w:vAlign w:val="bottom"/>
            <w:vMerge w:val="restart"/>
            <w:shd w:val="clear" w:color="auto" w:fill="1E8085"/>
          </w:tcPr>
          <w:p>
            <w:pPr>
              <w:spacing w:after="0"/>
              <w:rPr>
                <w:sz w:val="3"/>
                <w:szCs w:val="3"/>
                <w:color w:val="auto"/>
              </w:rPr>
            </w:pPr>
          </w:p>
        </w:tc>
        <w:tc>
          <w:tcPr>
            <w:tcW w:w="100" w:type="dxa"/>
            <w:vAlign w:val="bottom"/>
            <w:vMerge w:val="restart"/>
            <w:shd w:val="clear" w:color="auto" w:fill="1E8085"/>
          </w:tcPr>
          <w:p>
            <w:pPr>
              <w:spacing w:after="0"/>
              <w:rPr>
                <w:sz w:val="3"/>
                <w:szCs w:val="3"/>
                <w:color w:val="auto"/>
              </w:rPr>
            </w:pPr>
          </w:p>
        </w:tc>
        <w:tc>
          <w:tcPr>
            <w:tcW w:w="4780" w:type="dxa"/>
            <w:vAlign w:val="bottom"/>
            <w:vMerge w:val="restart"/>
            <w:shd w:val="clear" w:color="auto" w:fill="1E8085"/>
          </w:tcPr>
          <w:p>
            <w:pPr>
              <w:ind w:left="200"/>
              <w:spacing w:after="0" w:line="229" w:lineRule="exact"/>
              <w:rPr>
                <w:sz w:val="20"/>
                <w:szCs w:val="20"/>
                <w:color w:val="auto"/>
              </w:rPr>
            </w:pPr>
            <w:r>
              <w:rPr>
                <w:rFonts w:ascii="SimSun" w:cs="SimSun" w:eastAsia="SimSun" w:hAnsi="SimSun"/>
                <w:sz w:val="20"/>
                <w:szCs w:val="20"/>
                <w:color w:val="FFFFFF"/>
              </w:rPr>
              <w:t>识，理解财务如何在经营中发挥作用</w:t>
            </w:r>
          </w:p>
        </w:tc>
        <w:tc>
          <w:tcPr>
            <w:tcW w:w="0" w:type="dxa"/>
            <w:vAlign w:val="bottom"/>
          </w:tcPr>
          <w:p>
            <w:pPr>
              <w:spacing w:after="0"/>
              <w:rPr>
                <w:sz w:val="1"/>
                <w:szCs w:val="1"/>
                <w:color w:val="auto"/>
              </w:rPr>
            </w:pPr>
          </w:p>
        </w:tc>
      </w:tr>
      <w:tr>
        <w:trPr>
          <w:trHeight w:val="419"/>
        </w:trPr>
        <w:tc>
          <w:tcPr>
            <w:tcW w:w="1040" w:type="dxa"/>
            <w:vAlign w:val="bottom"/>
            <w:shd w:val="clear" w:color="auto" w:fill="1E8085"/>
          </w:tcPr>
          <w:p>
            <w:pPr>
              <w:spacing w:after="0"/>
              <w:rPr>
                <w:sz w:val="24"/>
                <w:szCs w:val="24"/>
                <w:color w:val="auto"/>
              </w:rPr>
            </w:pPr>
          </w:p>
        </w:tc>
        <w:tc>
          <w:tcPr>
            <w:tcW w:w="100" w:type="dxa"/>
            <w:vAlign w:val="bottom"/>
            <w:shd w:val="clear" w:color="auto" w:fill="1E8085"/>
          </w:tcPr>
          <w:p>
            <w:pPr>
              <w:spacing w:after="0"/>
              <w:rPr>
                <w:sz w:val="24"/>
                <w:szCs w:val="24"/>
                <w:color w:val="auto"/>
              </w:rPr>
            </w:pPr>
          </w:p>
        </w:tc>
        <w:tc>
          <w:tcPr>
            <w:tcW w:w="3660" w:type="dxa"/>
            <w:vAlign w:val="bottom"/>
            <w:shd w:val="clear" w:color="auto" w:fill="1E8085"/>
          </w:tcPr>
          <w:p>
            <w:pPr>
              <w:spacing w:after="0"/>
              <w:rPr>
                <w:sz w:val="24"/>
                <w:szCs w:val="24"/>
                <w:color w:val="auto"/>
              </w:rPr>
            </w:pPr>
          </w:p>
        </w:tc>
        <w:tc>
          <w:tcPr>
            <w:tcW w:w="540" w:type="dxa"/>
            <w:vAlign w:val="bottom"/>
            <w:vMerge w:val="continue"/>
            <w:shd w:val="clear" w:color="auto" w:fill="1E8085"/>
          </w:tcPr>
          <w:p>
            <w:pPr>
              <w:spacing w:after="0"/>
              <w:rPr>
                <w:sz w:val="24"/>
                <w:szCs w:val="24"/>
                <w:color w:val="auto"/>
              </w:rPr>
            </w:pPr>
          </w:p>
        </w:tc>
        <w:tc>
          <w:tcPr>
            <w:tcW w:w="100" w:type="dxa"/>
            <w:vAlign w:val="bottom"/>
            <w:vMerge w:val="continue"/>
            <w:shd w:val="clear" w:color="auto" w:fill="1E8085"/>
          </w:tcPr>
          <w:p>
            <w:pPr>
              <w:spacing w:after="0"/>
              <w:rPr>
                <w:sz w:val="24"/>
                <w:szCs w:val="24"/>
                <w:color w:val="auto"/>
              </w:rPr>
            </w:pPr>
          </w:p>
        </w:tc>
        <w:tc>
          <w:tcPr>
            <w:tcW w:w="4780" w:type="dxa"/>
            <w:vAlign w:val="bottom"/>
            <w:vMerge w:val="continue"/>
            <w:shd w:val="clear" w:color="auto" w:fill="1E8085"/>
          </w:tcPr>
          <w:p>
            <w:pPr>
              <w:spacing w:after="0"/>
              <w:rPr>
                <w:sz w:val="24"/>
                <w:szCs w:val="24"/>
                <w:color w:val="auto"/>
              </w:rPr>
            </w:pPr>
          </w:p>
        </w:tc>
        <w:tc>
          <w:tcPr>
            <w:tcW w:w="0" w:type="dxa"/>
            <w:vAlign w:val="bottom"/>
          </w:tcPr>
          <w:p>
            <w:pPr>
              <w:spacing w:after="0"/>
              <w:rPr>
                <w:sz w:val="1"/>
                <w:szCs w:val="1"/>
                <w:color w:val="auto"/>
              </w:rPr>
            </w:pPr>
          </w:p>
        </w:tc>
      </w:tr>
      <w:tr>
        <w:trPr>
          <w:trHeight w:val="236"/>
        </w:trPr>
        <w:tc>
          <w:tcPr>
            <w:tcW w:w="1040" w:type="dxa"/>
            <w:vAlign w:val="bottom"/>
            <w:shd w:val="clear" w:color="auto" w:fill="1E8085"/>
          </w:tcPr>
          <w:p>
            <w:pPr>
              <w:spacing w:after="0"/>
              <w:rPr>
                <w:sz w:val="20"/>
                <w:szCs w:val="20"/>
                <w:color w:val="auto"/>
              </w:rPr>
            </w:pPr>
          </w:p>
        </w:tc>
        <w:tc>
          <w:tcPr>
            <w:tcW w:w="100" w:type="dxa"/>
            <w:vAlign w:val="bottom"/>
            <w:shd w:val="clear" w:color="auto" w:fill="1E8085"/>
          </w:tcPr>
          <w:p>
            <w:pPr>
              <w:spacing w:after="0"/>
              <w:rPr>
                <w:sz w:val="20"/>
                <w:szCs w:val="20"/>
                <w:color w:val="auto"/>
              </w:rPr>
            </w:pPr>
          </w:p>
        </w:tc>
        <w:tc>
          <w:tcPr>
            <w:tcW w:w="3660" w:type="dxa"/>
            <w:vAlign w:val="bottom"/>
            <w:vMerge w:val="restart"/>
            <w:shd w:val="clear" w:color="auto" w:fill="1E8085"/>
          </w:tcPr>
          <w:p>
            <w:pPr>
              <w:ind w:left="140"/>
              <w:spacing w:after="0" w:line="229" w:lineRule="exact"/>
              <w:rPr>
                <w:sz w:val="20"/>
                <w:szCs w:val="20"/>
                <w:color w:val="auto"/>
              </w:rPr>
            </w:pPr>
            <w:r>
              <w:rPr>
                <w:rFonts w:ascii="SimSun" w:cs="SimSun" w:eastAsia="SimSun" w:hAnsi="SimSun"/>
                <w:sz w:val="20"/>
                <w:szCs w:val="20"/>
                <w:color w:val="FFFFFF"/>
              </w:rPr>
              <w:t>各个业务部门负责人</w:t>
            </w:r>
          </w:p>
        </w:tc>
        <w:tc>
          <w:tcPr>
            <w:tcW w:w="540" w:type="dxa"/>
            <w:vAlign w:val="bottom"/>
            <w:shd w:val="clear" w:color="auto" w:fill="1E8085"/>
          </w:tcPr>
          <w:p>
            <w:pPr>
              <w:spacing w:after="0"/>
              <w:rPr>
                <w:sz w:val="20"/>
                <w:szCs w:val="20"/>
                <w:color w:val="auto"/>
              </w:rPr>
            </w:pPr>
          </w:p>
        </w:tc>
        <w:tc>
          <w:tcPr>
            <w:tcW w:w="100" w:type="dxa"/>
            <w:vAlign w:val="bottom"/>
            <w:shd w:val="clear" w:color="auto" w:fill="1E8085"/>
          </w:tcPr>
          <w:p>
            <w:pPr>
              <w:spacing w:after="0"/>
              <w:rPr>
                <w:sz w:val="20"/>
                <w:szCs w:val="20"/>
                <w:color w:val="auto"/>
              </w:rPr>
            </w:pPr>
          </w:p>
        </w:tc>
        <w:tc>
          <w:tcPr>
            <w:tcW w:w="4780" w:type="dxa"/>
            <w:vAlign w:val="bottom"/>
            <w:vMerge w:val="restart"/>
            <w:shd w:val="clear" w:color="auto" w:fill="1E8085"/>
          </w:tcPr>
          <w:p>
            <w:pPr>
              <w:ind w:left="120"/>
              <w:spacing w:after="0" w:line="229" w:lineRule="exact"/>
              <w:rPr>
                <w:sz w:val="20"/>
                <w:szCs w:val="20"/>
                <w:color w:val="auto"/>
              </w:rPr>
            </w:pPr>
            <w:r>
              <w:rPr>
                <w:rFonts w:ascii="SimSun" w:cs="SimSun" w:eastAsia="SimSun" w:hAnsi="SimSun"/>
                <w:sz w:val="20"/>
                <w:szCs w:val="20"/>
                <w:color w:val="FFFFFF"/>
              </w:rPr>
              <w:t>【透视企业经营之道】读懂财务报告，理</w:t>
            </w:r>
          </w:p>
        </w:tc>
        <w:tc>
          <w:tcPr>
            <w:tcW w:w="0" w:type="dxa"/>
            <w:vAlign w:val="bottom"/>
          </w:tcPr>
          <w:p>
            <w:pPr>
              <w:spacing w:after="0"/>
              <w:rPr>
                <w:sz w:val="1"/>
                <w:szCs w:val="1"/>
                <w:color w:val="auto"/>
              </w:rPr>
            </w:pPr>
          </w:p>
        </w:tc>
      </w:tr>
      <w:tr>
        <w:trPr>
          <w:trHeight w:val="106"/>
        </w:trPr>
        <w:tc>
          <w:tcPr>
            <w:tcW w:w="1040" w:type="dxa"/>
            <w:vAlign w:val="bottom"/>
            <w:tcBorders>
              <w:bottom w:val="single" w:sz="8" w:color="1E8085"/>
            </w:tcBorders>
            <w:shd w:val="clear" w:color="auto" w:fill="1E8085"/>
          </w:tcPr>
          <w:p>
            <w:pPr>
              <w:spacing w:after="0"/>
              <w:rPr>
                <w:sz w:val="9"/>
                <w:szCs w:val="9"/>
                <w:color w:val="auto"/>
              </w:rPr>
            </w:pPr>
          </w:p>
        </w:tc>
        <w:tc>
          <w:tcPr>
            <w:tcW w:w="100" w:type="dxa"/>
            <w:vAlign w:val="bottom"/>
            <w:tcBorders>
              <w:bottom w:val="single" w:sz="8" w:color="1E8085"/>
            </w:tcBorders>
            <w:shd w:val="clear" w:color="auto" w:fill="1E8085"/>
          </w:tcPr>
          <w:p>
            <w:pPr>
              <w:spacing w:after="0"/>
              <w:rPr>
                <w:sz w:val="9"/>
                <w:szCs w:val="9"/>
                <w:color w:val="auto"/>
              </w:rPr>
            </w:pPr>
          </w:p>
        </w:tc>
        <w:tc>
          <w:tcPr>
            <w:tcW w:w="3660" w:type="dxa"/>
            <w:vAlign w:val="bottom"/>
            <w:tcBorders>
              <w:bottom w:val="single" w:sz="8" w:color="1E8085"/>
            </w:tcBorders>
            <w:vMerge w:val="continue"/>
            <w:shd w:val="clear" w:color="auto" w:fill="1E8085"/>
          </w:tcPr>
          <w:p>
            <w:pPr>
              <w:spacing w:after="0"/>
              <w:rPr>
                <w:sz w:val="9"/>
                <w:szCs w:val="9"/>
                <w:color w:val="auto"/>
              </w:rPr>
            </w:pPr>
          </w:p>
        </w:tc>
        <w:tc>
          <w:tcPr>
            <w:tcW w:w="540" w:type="dxa"/>
            <w:vAlign w:val="bottom"/>
            <w:tcBorders>
              <w:bottom w:val="single" w:sz="8" w:color="1E8085"/>
            </w:tcBorders>
            <w:shd w:val="clear" w:color="auto" w:fill="1E8085"/>
          </w:tcPr>
          <w:p>
            <w:pPr>
              <w:spacing w:after="0"/>
              <w:rPr>
                <w:sz w:val="9"/>
                <w:szCs w:val="9"/>
                <w:color w:val="auto"/>
              </w:rPr>
            </w:pPr>
          </w:p>
        </w:tc>
        <w:tc>
          <w:tcPr>
            <w:tcW w:w="100" w:type="dxa"/>
            <w:vAlign w:val="bottom"/>
            <w:tcBorders>
              <w:bottom w:val="single" w:sz="8" w:color="1E8085"/>
            </w:tcBorders>
          </w:tcPr>
          <w:p>
            <w:pPr>
              <w:spacing w:after="0"/>
              <w:rPr>
                <w:sz w:val="9"/>
                <w:szCs w:val="9"/>
                <w:color w:val="auto"/>
              </w:rPr>
            </w:pPr>
          </w:p>
        </w:tc>
        <w:tc>
          <w:tcPr>
            <w:tcW w:w="4780" w:type="dxa"/>
            <w:vAlign w:val="bottom"/>
            <w:tcBorders>
              <w:bottom w:val="single" w:sz="8" w:color="1E8085"/>
            </w:tcBorders>
            <w:vMerge w:val="continue"/>
            <w:shd w:val="clear" w:color="auto" w:fill="1E8085"/>
          </w:tcPr>
          <w:p>
            <w:pPr>
              <w:spacing w:after="0"/>
              <w:rPr>
                <w:sz w:val="9"/>
                <w:szCs w:val="9"/>
                <w:color w:val="auto"/>
              </w:rPr>
            </w:pPr>
          </w:p>
        </w:tc>
        <w:tc>
          <w:tcPr>
            <w:tcW w:w="0" w:type="dxa"/>
            <w:vAlign w:val="bottom"/>
          </w:tcPr>
          <w:p>
            <w:pPr>
              <w:spacing w:after="0"/>
              <w:rPr>
                <w:sz w:val="1"/>
                <w:szCs w:val="1"/>
                <w:color w:val="auto"/>
              </w:rPr>
            </w:pPr>
          </w:p>
        </w:tc>
      </w:tr>
      <w:tr>
        <w:trPr>
          <w:trHeight w:val="90"/>
        </w:trPr>
        <w:tc>
          <w:tcPr>
            <w:tcW w:w="1040" w:type="dxa"/>
            <w:vAlign w:val="bottom"/>
            <w:shd w:val="clear" w:color="auto" w:fill="1E8085"/>
          </w:tcPr>
          <w:p>
            <w:pPr>
              <w:spacing w:after="0"/>
              <w:rPr>
                <w:sz w:val="7"/>
                <w:szCs w:val="7"/>
                <w:color w:val="auto"/>
              </w:rPr>
            </w:pPr>
          </w:p>
        </w:tc>
        <w:tc>
          <w:tcPr>
            <w:tcW w:w="100" w:type="dxa"/>
            <w:vAlign w:val="bottom"/>
          </w:tcPr>
          <w:p>
            <w:pPr>
              <w:spacing w:after="0"/>
              <w:rPr>
                <w:sz w:val="7"/>
                <w:szCs w:val="7"/>
                <w:color w:val="auto"/>
              </w:rPr>
            </w:pPr>
          </w:p>
        </w:tc>
        <w:tc>
          <w:tcPr>
            <w:tcW w:w="3660" w:type="dxa"/>
            <w:vAlign w:val="bottom"/>
            <w:vMerge w:val="continue"/>
            <w:shd w:val="clear" w:color="auto" w:fill="1E8085"/>
          </w:tcPr>
          <w:p>
            <w:pPr>
              <w:spacing w:after="0"/>
              <w:rPr>
                <w:sz w:val="7"/>
                <w:szCs w:val="7"/>
                <w:color w:val="auto"/>
              </w:rPr>
            </w:pPr>
          </w:p>
        </w:tc>
        <w:tc>
          <w:tcPr>
            <w:tcW w:w="540" w:type="dxa"/>
            <w:vAlign w:val="bottom"/>
            <w:vMerge w:val="restart"/>
            <w:shd w:val="clear" w:color="auto" w:fill="1E8085"/>
          </w:tcPr>
          <w:p>
            <w:pPr>
              <w:spacing w:after="0"/>
              <w:rPr>
                <w:sz w:val="7"/>
                <w:szCs w:val="7"/>
                <w:color w:val="auto"/>
              </w:rPr>
            </w:pPr>
          </w:p>
        </w:tc>
        <w:tc>
          <w:tcPr>
            <w:tcW w:w="100" w:type="dxa"/>
            <w:vAlign w:val="bottom"/>
            <w:vMerge w:val="restart"/>
            <w:shd w:val="clear" w:color="auto" w:fill="1E8085"/>
          </w:tcPr>
          <w:p>
            <w:pPr>
              <w:spacing w:after="0"/>
              <w:rPr>
                <w:sz w:val="7"/>
                <w:szCs w:val="7"/>
                <w:color w:val="auto"/>
              </w:rPr>
            </w:pPr>
          </w:p>
        </w:tc>
        <w:tc>
          <w:tcPr>
            <w:tcW w:w="4780" w:type="dxa"/>
            <w:vAlign w:val="bottom"/>
            <w:vMerge w:val="restart"/>
            <w:shd w:val="clear" w:color="auto" w:fill="1E8085"/>
          </w:tcPr>
          <w:p>
            <w:pPr>
              <w:ind w:left="200"/>
              <w:spacing w:after="0" w:line="229" w:lineRule="exact"/>
              <w:rPr>
                <w:sz w:val="20"/>
                <w:szCs w:val="20"/>
                <w:color w:val="auto"/>
              </w:rPr>
            </w:pPr>
            <w:r>
              <w:rPr>
                <w:rFonts w:ascii="SimSun" w:cs="SimSun" w:eastAsia="SimSun" w:hAnsi="SimSun"/>
                <w:sz w:val="20"/>
                <w:szCs w:val="20"/>
                <w:color w:val="FFFFFF"/>
              </w:rPr>
              <w:t>解各部门的经营活动如何影响企业</w:t>
            </w:r>
          </w:p>
        </w:tc>
        <w:tc>
          <w:tcPr>
            <w:tcW w:w="0" w:type="dxa"/>
            <w:vAlign w:val="bottom"/>
          </w:tcPr>
          <w:p>
            <w:pPr>
              <w:spacing w:after="0"/>
              <w:rPr>
                <w:sz w:val="1"/>
                <w:szCs w:val="1"/>
                <w:color w:val="auto"/>
              </w:rPr>
            </w:pPr>
          </w:p>
        </w:tc>
      </w:tr>
      <w:tr>
        <w:trPr>
          <w:trHeight w:val="348"/>
        </w:trPr>
        <w:tc>
          <w:tcPr>
            <w:tcW w:w="1040" w:type="dxa"/>
            <w:vAlign w:val="bottom"/>
            <w:shd w:val="clear" w:color="auto" w:fill="1E8085"/>
          </w:tcPr>
          <w:p>
            <w:pPr>
              <w:spacing w:after="0"/>
              <w:rPr>
                <w:sz w:val="24"/>
                <w:szCs w:val="24"/>
                <w:color w:val="auto"/>
              </w:rPr>
            </w:pPr>
          </w:p>
        </w:tc>
        <w:tc>
          <w:tcPr>
            <w:tcW w:w="100" w:type="dxa"/>
            <w:vAlign w:val="bottom"/>
            <w:shd w:val="clear" w:color="auto" w:fill="1E8085"/>
          </w:tcPr>
          <w:p>
            <w:pPr>
              <w:spacing w:after="0"/>
              <w:rPr>
                <w:sz w:val="24"/>
                <w:szCs w:val="24"/>
                <w:color w:val="auto"/>
              </w:rPr>
            </w:pPr>
          </w:p>
        </w:tc>
        <w:tc>
          <w:tcPr>
            <w:tcW w:w="3660" w:type="dxa"/>
            <w:vAlign w:val="bottom"/>
            <w:vMerge w:val="continue"/>
            <w:shd w:val="clear" w:color="auto" w:fill="1E8085"/>
          </w:tcPr>
          <w:p>
            <w:pPr>
              <w:spacing w:after="0"/>
              <w:rPr>
                <w:sz w:val="24"/>
                <w:szCs w:val="24"/>
                <w:color w:val="auto"/>
              </w:rPr>
            </w:pPr>
          </w:p>
        </w:tc>
        <w:tc>
          <w:tcPr>
            <w:tcW w:w="540" w:type="dxa"/>
            <w:vAlign w:val="bottom"/>
            <w:vMerge w:val="continue"/>
            <w:shd w:val="clear" w:color="auto" w:fill="1E8085"/>
          </w:tcPr>
          <w:p>
            <w:pPr>
              <w:spacing w:after="0"/>
              <w:rPr>
                <w:sz w:val="24"/>
                <w:szCs w:val="24"/>
                <w:color w:val="auto"/>
              </w:rPr>
            </w:pPr>
          </w:p>
        </w:tc>
        <w:tc>
          <w:tcPr>
            <w:tcW w:w="100" w:type="dxa"/>
            <w:vAlign w:val="bottom"/>
            <w:vMerge w:val="continue"/>
            <w:shd w:val="clear" w:color="auto" w:fill="1E8085"/>
          </w:tcPr>
          <w:p>
            <w:pPr>
              <w:spacing w:after="0"/>
              <w:rPr>
                <w:sz w:val="24"/>
                <w:szCs w:val="24"/>
                <w:color w:val="auto"/>
              </w:rPr>
            </w:pPr>
          </w:p>
        </w:tc>
        <w:tc>
          <w:tcPr>
            <w:tcW w:w="4780" w:type="dxa"/>
            <w:vAlign w:val="bottom"/>
            <w:vMerge w:val="continue"/>
            <w:shd w:val="clear" w:color="auto" w:fill="1E8085"/>
          </w:tcPr>
          <w:p>
            <w:pPr>
              <w:spacing w:after="0"/>
              <w:rPr>
                <w:sz w:val="24"/>
                <w:szCs w:val="24"/>
                <w:color w:val="auto"/>
              </w:rPr>
            </w:pPr>
          </w:p>
        </w:tc>
        <w:tc>
          <w:tcPr>
            <w:tcW w:w="0" w:type="dxa"/>
            <w:vAlign w:val="bottom"/>
          </w:tcPr>
          <w:p>
            <w:pPr>
              <w:spacing w:after="0"/>
              <w:rPr>
                <w:sz w:val="1"/>
                <w:szCs w:val="1"/>
                <w:color w:val="auto"/>
              </w:rPr>
            </w:pPr>
          </w:p>
        </w:tc>
      </w:tr>
      <w:tr>
        <w:trPr>
          <w:trHeight w:val="239"/>
        </w:trPr>
        <w:tc>
          <w:tcPr>
            <w:tcW w:w="1040" w:type="dxa"/>
            <w:vAlign w:val="bottom"/>
            <w:shd w:val="clear" w:color="auto" w:fill="1E8085"/>
          </w:tcPr>
          <w:p>
            <w:pPr>
              <w:spacing w:after="0"/>
              <w:rPr>
                <w:sz w:val="20"/>
                <w:szCs w:val="20"/>
                <w:color w:val="auto"/>
              </w:rPr>
            </w:pPr>
          </w:p>
        </w:tc>
        <w:tc>
          <w:tcPr>
            <w:tcW w:w="100" w:type="dxa"/>
            <w:vAlign w:val="bottom"/>
            <w:shd w:val="clear" w:color="auto" w:fill="1E8085"/>
          </w:tcPr>
          <w:p>
            <w:pPr>
              <w:spacing w:after="0"/>
              <w:rPr>
                <w:sz w:val="20"/>
                <w:szCs w:val="20"/>
                <w:color w:val="auto"/>
              </w:rPr>
            </w:pPr>
          </w:p>
        </w:tc>
        <w:tc>
          <w:tcPr>
            <w:tcW w:w="3660" w:type="dxa"/>
            <w:vAlign w:val="bottom"/>
            <w:vMerge w:val="restart"/>
            <w:shd w:val="clear" w:color="auto" w:fill="1E8085"/>
          </w:tcPr>
          <w:p>
            <w:pPr>
              <w:ind w:left="140"/>
              <w:spacing w:after="0" w:line="229" w:lineRule="exact"/>
              <w:rPr>
                <w:sz w:val="20"/>
                <w:szCs w:val="20"/>
                <w:color w:val="auto"/>
              </w:rPr>
            </w:pPr>
            <w:r>
              <w:rPr>
                <w:rFonts w:ascii="SimSun" w:cs="SimSun" w:eastAsia="SimSun" w:hAnsi="SimSun"/>
                <w:sz w:val="20"/>
                <w:szCs w:val="20"/>
                <w:color w:val="FFFFFF"/>
              </w:rPr>
              <w:t>企业骨干和有发展潜力的员工</w:t>
            </w:r>
          </w:p>
        </w:tc>
        <w:tc>
          <w:tcPr>
            <w:tcW w:w="540" w:type="dxa"/>
            <w:vAlign w:val="bottom"/>
            <w:shd w:val="clear" w:color="auto" w:fill="1E8085"/>
          </w:tcPr>
          <w:p>
            <w:pPr>
              <w:spacing w:after="0"/>
              <w:rPr>
                <w:sz w:val="20"/>
                <w:szCs w:val="20"/>
                <w:color w:val="auto"/>
              </w:rPr>
            </w:pPr>
          </w:p>
        </w:tc>
        <w:tc>
          <w:tcPr>
            <w:tcW w:w="100" w:type="dxa"/>
            <w:vAlign w:val="bottom"/>
            <w:shd w:val="clear" w:color="auto" w:fill="1E8085"/>
          </w:tcPr>
          <w:p>
            <w:pPr>
              <w:spacing w:after="0"/>
              <w:rPr>
                <w:sz w:val="20"/>
                <w:szCs w:val="20"/>
                <w:color w:val="auto"/>
              </w:rPr>
            </w:pPr>
          </w:p>
        </w:tc>
        <w:tc>
          <w:tcPr>
            <w:tcW w:w="4780" w:type="dxa"/>
            <w:vAlign w:val="bottom"/>
            <w:vMerge w:val="restart"/>
            <w:shd w:val="clear" w:color="auto" w:fill="1E8085"/>
          </w:tcPr>
          <w:p>
            <w:pPr>
              <w:ind w:left="120"/>
              <w:spacing w:after="0" w:line="229" w:lineRule="exact"/>
              <w:rPr>
                <w:sz w:val="20"/>
                <w:szCs w:val="20"/>
                <w:color w:val="auto"/>
              </w:rPr>
            </w:pPr>
            <w:r>
              <w:rPr>
                <w:rFonts w:ascii="SimSun" w:cs="SimSun" w:eastAsia="SimSun" w:hAnsi="SimSun"/>
                <w:sz w:val="20"/>
                <w:szCs w:val="20"/>
                <w:color w:val="FFFFFF"/>
              </w:rPr>
              <w:t>【有效管控日常运营】掌握营运资金、成</w:t>
            </w:r>
          </w:p>
        </w:tc>
        <w:tc>
          <w:tcPr>
            <w:tcW w:w="0" w:type="dxa"/>
            <w:vAlign w:val="bottom"/>
          </w:tcPr>
          <w:p>
            <w:pPr>
              <w:spacing w:after="0"/>
              <w:rPr>
                <w:sz w:val="1"/>
                <w:szCs w:val="1"/>
                <w:color w:val="auto"/>
              </w:rPr>
            </w:pPr>
          </w:p>
        </w:tc>
      </w:tr>
      <w:tr>
        <w:trPr>
          <w:trHeight w:val="104"/>
        </w:trPr>
        <w:tc>
          <w:tcPr>
            <w:tcW w:w="1040" w:type="dxa"/>
            <w:vAlign w:val="bottom"/>
            <w:shd w:val="clear" w:color="auto" w:fill="1E8085"/>
          </w:tcPr>
          <w:p>
            <w:pPr>
              <w:spacing w:after="0"/>
              <w:rPr>
                <w:sz w:val="9"/>
                <w:szCs w:val="9"/>
                <w:color w:val="auto"/>
              </w:rPr>
            </w:pPr>
          </w:p>
        </w:tc>
        <w:tc>
          <w:tcPr>
            <w:tcW w:w="100" w:type="dxa"/>
            <w:vAlign w:val="bottom"/>
            <w:shd w:val="clear" w:color="auto" w:fill="1E8085"/>
          </w:tcPr>
          <w:p>
            <w:pPr>
              <w:spacing w:after="0"/>
              <w:rPr>
                <w:sz w:val="9"/>
                <w:szCs w:val="9"/>
                <w:color w:val="auto"/>
              </w:rPr>
            </w:pPr>
          </w:p>
        </w:tc>
        <w:tc>
          <w:tcPr>
            <w:tcW w:w="3660" w:type="dxa"/>
            <w:vAlign w:val="bottom"/>
            <w:vMerge w:val="continue"/>
            <w:shd w:val="clear" w:color="auto" w:fill="1E8085"/>
          </w:tcPr>
          <w:p>
            <w:pPr>
              <w:spacing w:after="0"/>
              <w:rPr>
                <w:sz w:val="9"/>
                <w:szCs w:val="9"/>
                <w:color w:val="auto"/>
              </w:rPr>
            </w:pPr>
          </w:p>
        </w:tc>
        <w:tc>
          <w:tcPr>
            <w:tcW w:w="540" w:type="dxa"/>
            <w:vAlign w:val="bottom"/>
            <w:shd w:val="clear" w:color="auto" w:fill="1E8085"/>
          </w:tcPr>
          <w:p>
            <w:pPr>
              <w:spacing w:after="0"/>
              <w:rPr>
                <w:sz w:val="9"/>
                <w:szCs w:val="9"/>
                <w:color w:val="auto"/>
              </w:rPr>
            </w:pPr>
          </w:p>
        </w:tc>
        <w:tc>
          <w:tcPr>
            <w:tcW w:w="100" w:type="dxa"/>
            <w:vAlign w:val="bottom"/>
          </w:tcPr>
          <w:p>
            <w:pPr>
              <w:spacing w:after="0"/>
              <w:rPr>
                <w:sz w:val="9"/>
                <w:szCs w:val="9"/>
                <w:color w:val="auto"/>
              </w:rPr>
            </w:pPr>
          </w:p>
        </w:tc>
        <w:tc>
          <w:tcPr>
            <w:tcW w:w="4780" w:type="dxa"/>
            <w:vAlign w:val="bottom"/>
            <w:vMerge w:val="continue"/>
            <w:shd w:val="clear" w:color="auto" w:fill="1E8085"/>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1040" w:type="dxa"/>
            <w:vAlign w:val="bottom"/>
            <w:shd w:val="clear" w:color="auto" w:fill="1E8085"/>
          </w:tcPr>
          <w:p>
            <w:pPr>
              <w:spacing w:after="0"/>
              <w:rPr>
                <w:sz w:val="9"/>
                <w:szCs w:val="9"/>
                <w:color w:val="auto"/>
              </w:rPr>
            </w:pPr>
          </w:p>
        </w:tc>
        <w:tc>
          <w:tcPr>
            <w:tcW w:w="100" w:type="dxa"/>
            <w:vAlign w:val="bottom"/>
            <w:shd w:val="clear" w:color="auto" w:fill="1E8085"/>
          </w:tcPr>
          <w:p>
            <w:pPr>
              <w:spacing w:after="0"/>
              <w:rPr>
                <w:sz w:val="9"/>
                <w:szCs w:val="9"/>
                <w:color w:val="auto"/>
              </w:rPr>
            </w:pPr>
          </w:p>
        </w:tc>
        <w:tc>
          <w:tcPr>
            <w:tcW w:w="3660" w:type="dxa"/>
            <w:vAlign w:val="bottom"/>
            <w:vMerge w:val="continue"/>
            <w:shd w:val="clear" w:color="auto" w:fill="1E8085"/>
          </w:tcPr>
          <w:p>
            <w:pPr>
              <w:spacing w:after="0"/>
              <w:rPr>
                <w:sz w:val="9"/>
                <w:szCs w:val="9"/>
                <w:color w:val="auto"/>
              </w:rPr>
            </w:pPr>
          </w:p>
        </w:tc>
        <w:tc>
          <w:tcPr>
            <w:tcW w:w="540" w:type="dxa"/>
            <w:vAlign w:val="bottom"/>
            <w:vMerge w:val="restart"/>
            <w:shd w:val="clear" w:color="auto" w:fill="1E8085"/>
          </w:tcPr>
          <w:p>
            <w:pPr>
              <w:spacing w:after="0"/>
              <w:rPr>
                <w:sz w:val="9"/>
                <w:szCs w:val="9"/>
                <w:color w:val="auto"/>
              </w:rPr>
            </w:pPr>
          </w:p>
        </w:tc>
        <w:tc>
          <w:tcPr>
            <w:tcW w:w="100" w:type="dxa"/>
            <w:vAlign w:val="bottom"/>
            <w:vMerge w:val="restart"/>
            <w:shd w:val="clear" w:color="auto" w:fill="1E8085"/>
          </w:tcPr>
          <w:p>
            <w:pPr>
              <w:spacing w:after="0"/>
              <w:rPr>
                <w:sz w:val="9"/>
                <w:szCs w:val="9"/>
                <w:color w:val="auto"/>
              </w:rPr>
            </w:pPr>
          </w:p>
        </w:tc>
        <w:tc>
          <w:tcPr>
            <w:tcW w:w="4780" w:type="dxa"/>
            <w:vAlign w:val="bottom"/>
            <w:vMerge w:val="restart"/>
            <w:shd w:val="clear" w:color="auto" w:fill="1E8085"/>
          </w:tcPr>
          <w:p>
            <w:pPr>
              <w:ind w:left="200"/>
              <w:spacing w:after="0" w:line="229" w:lineRule="exact"/>
              <w:rPr>
                <w:sz w:val="20"/>
                <w:szCs w:val="20"/>
                <w:color w:val="auto"/>
              </w:rPr>
            </w:pPr>
            <w:r>
              <w:rPr>
                <w:rFonts w:ascii="SimSun" w:cs="SimSun" w:eastAsia="SimSun" w:hAnsi="SimSun"/>
                <w:sz w:val="20"/>
                <w:szCs w:val="20"/>
                <w:color w:val="FFFFFF"/>
              </w:rPr>
              <w:t>本、预算、风险管理等工具</w:t>
            </w:r>
          </w:p>
        </w:tc>
        <w:tc>
          <w:tcPr>
            <w:tcW w:w="0" w:type="dxa"/>
            <w:vAlign w:val="bottom"/>
          </w:tcPr>
          <w:p>
            <w:pPr>
              <w:spacing w:after="0"/>
              <w:rPr>
                <w:sz w:val="1"/>
                <w:szCs w:val="1"/>
                <w:color w:val="auto"/>
              </w:rPr>
            </w:pPr>
          </w:p>
        </w:tc>
      </w:tr>
      <w:tr>
        <w:trPr>
          <w:trHeight w:val="104"/>
        </w:trPr>
        <w:tc>
          <w:tcPr>
            <w:tcW w:w="1040" w:type="dxa"/>
            <w:vAlign w:val="bottom"/>
            <w:shd w:val="clear" w:color="auto" w:fill="1E8085"/>
          </w:tcPr>
          <w:p>
            <w:pPr>
              <w:spacing w:after="0"/>
              <w:rPr>
                <w:sz w:val="9"/>
                <w:szCs w:val="9"/>
                <w:color w:val="auto"/>
              </w:rPr>
            </w:pPr>
          </w:p>
        </w:tc>
        <w:tc>
          <w:tcPr>
            <w:tcW w:w="100" w:type="dxa"/>
            <w:vAlign w:val="bottom"/>
          </w:tcPr>
          <w:p>
            <w:pPr>
              <w:spacing w:after="0"/>
              <w:rPr>
                <w:sz w:val="9"/>
                <w:szCs w:val="9"/>
                <w:color w:val="auto"/>
              </w:rPr>
            </w:pPr>
          </w:p>
        </w:tc>
        <w:tc>
          <w:tcPr>
            <w:tcW w:w="3660" w:type="dxa"/>
            <w:vAlign w:val="bottom"/>
            <w:vMerge w:val="continue"/>
            <w:shd w:val="clear" w:color="auto" w:fill="1E8085"/>
          </w:tcPr>
          <w:p>
            <w:pPr>
              <w:spacing w:after="0"/>
              <w:rPr>
                <w:sz w:val="9"/>
                <w:szCs w:val="9"/>
                <w:color w:val="auto"/>
              </w:rPr>
            </w:pPr>
          </w:p>
        </w:tc>
        <w:tc>
          <w:tcPr>
            <w:tcW w:w="540" w:type="dxa"/>
            <w:vAlign w:val="bottom"/>
            <w:vMerge w:val="continue"/>
            <w:shd w:val="clear" w:color="auto" w:fill="1E8085"/>
          </w:tcPr>
          <w:p>
            <w:pPr>
              <w:spacing w:after="0"/>
              <w:rPr>
                <w:sz w:val="9"/>
                <w:szCs w:val="9"/>
                <w:color w:val="auto"/>
              </w:rPr>
            </w:pPr>
          </w:p>
        </w:tc>
        <w:tc>
          <w:tcPr>
            <w:tcW w:w="100" w:type="dxa"/>
            <w:vAlign w:val="bottom"/>
            <w:vMerge w:val="continue"/>
            <w:shd w:val="clear" w:color="auto" w:fill="1E8085"/>
          </w:tcPr>
          <w:p>
            <w:pPr>
              <w:spacing w:after="0"/>
              <w:rPr>
                <w:sz w:val="9"/>
                <w:szCs w:val="9"/>
                <w:color w:val="auto"/>
              </w:rPr>
            </w:pPr>
          </w:p>
        </w:tc>
        <w:tc>
          <w:tcPr>
            <w:tcW w:w="4780" w:type="dxa"/>
            <w:vAlign w:val="bottom"/>
            <w:vMerge w:val="continue"/>
            <w:shd w:val="clear" w:color="auto" w:fill="1E8085"/>
          </w:tcPr>
          <w:p>
            <w:pPr>
              <w:spacing w:after="0"/>
              <w:rPr>
                <w:sz w:val="9"/>
                <w:szCs w:val="9"/>
                <w:color w:val="auto"/>
              </w:rPr>
            </w:pPr>
          </w:p>
        </w:tc>
        <w:tc>
          <w:tcPr>
            <w:tcW w:w="0" w:type="dxa"/>
            <w:vAlign w:val="bottom"/>
          </w:tcPr>
          <w:p>
            <w:pPr>
              <w:spacing w:after="0"/>
              <w:rPr>
                <w:sz w:val="1"/>
                <w:szCs w:val="1"/>
                <w:color w:val="auto"/>
              </w:rPr>
            </w:pPr>
          </w:p>
        </w:tc>
      </w:tr>
      <w:tr>
        <w:trPr>
          <w:trHeight w:val="250"/>
        </w:trPr>
        <w:tc>
          <w:tcPr>
            <w:tcW w:w="1040" w:type="dxa"/>
            <w:vAlign w:val="bottom"/>
            <w:shd w:val="clear" w:color="auto" w:fill="1E8085"/>
          </w:tcPr>
          <w:p>
            <w:pPr>
              <w:spacing w:after="0"/>
              <w:rPr>
                <w:sz w:val="21"/>
                <w:szCs w:val="21"/>
                <w:color w:val="auto"/>
              </w:rPr>
            </w:pPr>
          </w:p>
        </w:tc>
        <w:tc>
          <w:tcPr>
            <w:tcW w:w="100" w:type="dxa"/>
            <w:vAlign w:val="bottom"/>
            <w:shd w:val="clear" w:color="auto" w:fill="1E8085"/>
          </w:tcPr>
          <w:p>
            <w:pPr>
              <w:spacing w:after="0"/>
              <w:rPr>
                <w:sz w:val="21"/>
                <w:szCs w:val="21"/>
                <w:color w:val="auto"/>
              </w:rPr>
            </w:pPr>
          </w:p>
        </w:tc>
        <w:tc>
          <w:tcPr>
            <w:tcW w:w="3660" w:type="dxa"/>
            <w:vAlign w:val="bottom"/>
            <w:vMerge w:val="continue"/>
            <w:shd w:val="clear" w:color="auto" w:fill="1E8085"/>
          </w:tcPr>
          <w:p>
            <w:pPr>
              <w:spacing w:after="0"/>
              <w:rPr>
                <w:sz w:val="21"/>
                <w:szCs w:val="21"/>
                <w:color w:val="auto"/>
              </w:rPr>
            </w:pPr>
          </w:p>
        </w:tc>
        <w:tc>
          <w:tcPr>
            <w:tcW w:w="540" w:type="dxa"/>
            <w:vAlign w:val="bottom"/>
            <w:vMerge w:val="continue"/>
            <w:shd w:val="clear" w:color="auto" w:fill="1E8085"/>
          </w:tcPr>
          <w:p>
            <w:pPr>
              <w:spacing w:after="0"/>
              <w:rPr>
                <w:sz w:val="21"/>
                <w:szCs w:val="21"/>
                <w:color w:val="auto"/>
              </w:rPr>
            </w:pPr>
          </w:p>
        </w:tc>
        <w:tc>
          <w:tcPr>
            <w:tcW w:w="100" w:type="dxa"/>
            <w:vAlign w:val="bottom"/>
            <w:vMerge w:val="continue"/>
            <w:shd w:val="clear" w:color="auto" w:fill="1E8085"/>
          </w:tcPr>
          <w:p>
            <w:pPr>
              <w:spacing w:after="0"/>
              <w:rPr>
                <w:sz w:val="21"/>
                <w:szCs w:val="21"/>
                <w:color w:val="auto"/>
              </w:rPr>
            </w:pPr>
          </w:p>
        </w:tc>
        <w:tc>
          <w:tcPr>
            <w:tcW w:w="4780" w:type="dxa"/>
            <w:vAlign w:val="bottom"/>
            <w:vMerge w:val="continue"/>
            <w:shd w:val="clear" w:color="auto" w:fill="1E8085"/>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040" w:type="dxa"/>
            <w:vAlign w:val="bottom"/>
            <w:shd w:val="clear" w:color="auto" w:fill="1E8085"/>
          </w:tcPr>
          <w:p>
            <w:pPr>
              <w:spacing w:after="0"/>
              <w:rPr>
                <w:sz w:val="20"/>
                <w:szCs w:val="20"/>
                <w:color w:val="auto"/>
              </w:rPr>
            </w:pPr>
          </w:p>
        </w:tc>
        <w:tc>
          <w:tcPr>
            <w:tcW w:w="100" w:type="dxa"/>
            <w:vAlign w:val="bottom"/>
            <w:shd w:val="clear" w:color="auto" w:fill="1E8085"/>
          </w:tcPr>
          <w:p>
            <w:pPr>
              <w:spacing w:after="0"/>
              <w:rPr>
                <w:sz w:val="20"/>
                <w:szCs w:val="20"/>
                <w:color w:val="auto"/>
              </w:rPr>
            </w:pPr>
          </w:p>
        </w:tc>
        <w:tc>
          <w:tcPr>
            <w:tcW w:w="3660" w:type="dxa"/>
            <w:vAlign w:val="bottom"/>
            <w:shd w:val="clear" w:color="auto" w:fill="1E8085"/>
          </w:tcPr>
          <w:p>
            <w:pPr>
              <w:spacing w:after="0"/>
              <w:rPr>
                <w:sz w:val="20"/>
                <w:szCs w:val="20"/>
                <w:color w:val="auto"/>
              </w:rPr>
            </w:pPr>
          </w:p>
        </w:tc>
        <w:tc>
          <w:tcPr>
            <w:tcW w:w="540" w:type="dxa"/>
            <w:vAlign w:val="bottom"/>
            <w:shd w:val="clear" w:color="auto" w:fill="1E8085"/>
          </w:tcPr>
          <w:p>
            <w:pPr>
              <w:spacing w:after="0"/>
              <w:rPr>
                <w:sz w:val="20"/>
                <w:szCs w:val="20"/>
                <w:color w:val="auto"/>
              </w:rPr>
            </w:pPr>
          </w:p>
        </w:tc>
        <w:tc>
          <w:tcPr>
            <w:tcW w:w="100" w:type="dxa"/>
            <w:vAlign w:val="bottom"/>
            <w:shd w:val="clear" w:color="auto" w:fill="1E8085"/>
          </w:tcPr>
          <w:p>
            <w:pPr>
              <w:spacing w:after="0"/>
              <w:rPr>
                <w:sz w:val="20"/>
                <w:szCs w:val="20"/>
                <w:color w:val="auto"/>
              </w:rPr>
            </w:pPr>
          </w:p>
        </w:tc>
        <w:tc>
          <w:tcPr>
            <w:tcW w:w="4780" w:type="dxa"/>
            <w:vAlign w:val="bottom"/>
            <w:vMerge w:val="restart"/>
            <w:shd w:val="clear" w:color="auto" w:fill="1E8085"/>
          </w:tcPr>
          <w:p>
            <w:pPr>
              <w:ind w:left="120"/>
              <w:spacing w:after="0" w:line="229" w:lineRule="exact"/>
              <w:rPr>
                <w:sz w:val="20"/>
                <w:szCs w:val="20"/>
                <w:color w:val="auto"/>
              </w:rPr>
            </w:pPr>
            <w:r>
              <w:rPr>
                <w:rFonts w:ascii="SimSun" w:cs="SimSun" w:eastAsia="SimSun" w:hAnsi="SimSun"/>
                <w:sz w:val="20"/>
                <w:szCs w:val="20"/>
                <w:color w:val="FFFFFF"/>
              </w:rPr>
              <w:t>【提升企业经营绩效】运用财务分析解读</w:t>
            </w:r>
          </w:p>
        </w:tc>
        <w:tc>
          <w:tcPr>
            <w:tcW w:w="0" w:type="dxa"/>
            <w:vAlign w:val="bottom"/>
          </w:tcPr>
          <w:p>
            <w:pPr>
              <w:spacing w:after="0"/>
              <w:rPr>
                <w:sz w:val="1"/>
                <w:szCs w:val="1"/>
                <w:color w:val="auto"/>
              </w:rPr>
            </w:pPr>
          </w:p>
        </w:tc>
      </w:tr>
      <w:tr>
        <w:trPr>
          <w:trHeight w:val="104"/>
        </w:trPr>
        <w:tc>
          <w:tcPr>
            <w:tcW w:w="1040" w:type="dxa"/>
            <w:vAlign w:val="bottom"/>
            <w:shd w:val="clear" w:color="auto" w:fill="1E8085"/>
          </w:tcPr>
          <w:p>
            <w:pPr>
              <w:spacing w:after="0"/>
              <w:rPr>
                <w:sz w:val="9"/>
                <w:szCs w:val="9"/>
                <w:color w:val="auto"/>
              </w:rPr>
            </w:pPr>
          </w:p>
        </w:tc>
        <w:tc>
          <w:tcPr>
            <w:tcW w:w="100" w:type="dxa"/>
            <w:vAlign w:val="bottom"/>
            <w:shd w:val="clear" w:color="auto" w:fill="1E8085"/>
          </w:tcPr>
          <w:p>
            <w:pPr>
              <w:spacing w:after="0"/>
              <w:rPr>
                <w:sz w:val="9"/>
                <w:szCs w:val="9"/>
                <w:color w:val="auto"/>
              </w:rPr>
            </w:pPr>
          </w:p>
        </w:tc>
        <w:tc>
          <w:tcPr>
            <w:tcW w:w="3660" w:type="dxa"/>
            <w:vAlign w:val="bottom"/>
            <w:shd w:val="clear" w:color="auto" w:fill="1E8085"/>
          </w:tcPr>
          <w:p>
            <w:pPr>
              <w:spacing w:after="0"/>
              <w:rPr>
                <w:sz w:val="9"/>
                <w:szCs w:val="9"/>
                <w:color w:val="auto"/>
              </w:rPr>
            </w:pPr>
          </w:p>
        </w:tc>
        <w:tc>
          <w:tcPr>
            <w:tcW w:w="540" w:type="dxa"/>
            <w:vAlign w:val="bottom"/>
            <w:shd w:val="clear" w:color="auto" w:fill="1E8085"/>
          </w:tcPr>
          <w:p>
            <w:pPr>
              <w:spacing w:after="0"/>
              <w:rPr>
                <w:sz w:val="9"/>
                <w:szCs w:val="9"/>
                <w:color w:val="auto"/>
              </w:rPr>
            </w:pPr>
          </w:p>
        </w:tc>
        <w:tc>
          <w:tcPr>
            <w:tcW w:w="100" w:type="dxa"/>
            <w:vAlign w:val="bottom"/>
          </w:tcPr>
          <w:p>
            <w:pPr>
              <w:spacing w:after="0"/>
              <w:rPr>
                <w:sz w:val="9"/>
                <w:szCs w:val="9"/>
                <w:color w:val="auto"/>
              </w:rPr>
            </w:pPr>
          </w:p>
        </w:tc>
        <w:tc>
          <w:tcPr>
            <w:tcW w:w="4780" w:type="dxa"/>
            <w:vAlign w:val="bottom"/>
            <w:vMerge w:val="continue"/>
            <w:shd w:val="clear" w:color="auto" w:fill="1E8085"/>
          </w:tcPr>
          <w:p>
            <w:pPr>
              <w:spacing w:after="0"/>
              <w:rPr>
                <w:sz w:val="9"/>
                <w:szCs w:val="9"/>
                <w:color w:val="auto"/>
              </w:rPr>
            </w:pPr>
          </w:p>
        </w:tc>
        <w:tc>
          <w:tcPr>
            <w:tcW w:w="0" w:type="dxa"/>
            <w:vAlign w:val="bottom"/>
          </w:tcPr>
          <w:p>
            <w:pPr>
              <w:spacing w:after="0"/>
              <w:rPr>
                <w:sz w:val="1"/>
                <w:szCs w:val="1"/>
                <w:color w:val="auto"/>
              </w:rPr>
            </w:pPr>
          </w:p>
        </w:tc>
      </w:tr>
      <w:tr>
        <w:trPr>
          <w:trHeight w:val="587"/>
        </w:trPr>
        <w:tc>
          <w:tcPr>
            <w:tcW w:w="1040" w:type="dxa"/>
            <w:vAlign w:val="bottom"/>
            <w:shd w:val="clear" w:color="auto" w:fill="1E8085"/>
          </w:tcPr>
          <w:p>
            <w:pPr>
              <w:spacing w:after="0"/>
              <w:rPr>
                <w:sz w:val="24"/>
                <w:szCs w:val="24"/>
                <w:color w:val="auto"/>
              </w:rPr>
            </w:pPr>
          </w:p>
        </w:tc>
        <w:tc>
          <w:tcPr>
            <w:tcW w:w="100" w:type="dxa"/>
            <w:vAlign w:val="bottom"/>
            <w:shd w:val="clear" w:color="auto" w:fill="1E8085"/>
          </w:tcPr>
          <w:p>
            <w:pPr>
              <w:spacing w:after="0"/>
              <w:rPr>
                <w:sz w:val="24"/>
                <w:szCs w:val="24"/>
                <w:color w:val="auto"/>
              </w:rPr>
            </w:pPr>
          </w:p>
        </w:tc>
        <w:tc>
          <w:tcPr>
            <w:tcW w:w="3660" w:type="dxa"/>
            <w:vAlign w:val="bottom"/>
            <w:shd w:val="clear" w:color="auto" w:fill="1E8085"/>
          </w:tcPr>
          <w:p>
            <w:pPr>
              <w:spacing w:after="0"/>
              <w:rPr>
                <w:sz w:val="24"/>
                <w:szCs w:val="24"/>
                <w:color w:val="auto"/>
              </w:rPr>
            </w:pPr>
          </w:p>
        </w:tc>
        <w:tc>
          <w:tcPr>
            <w:tcW w:w="540" w:type="dxa"/>
            <w:vAlign w:val="bottom"/>
            <w:shd w:val="clear" w:color="auto" w:fill="1E8085"/>
          </w:tcPr>
          <w:p>
            <w:pPr>
              <w:spacing w:after="0"/>
              <w:rPr>
                <w:sz w:val="24"/>
                <w:szCs w:val="24"/>
                <w:color w:val="auto"/>
              </w:rPr>
            </w:pPr>
          </w:p>
        </w:tc>
        <w:tc>
          <w:tcPr>
            <w:tcW w:w="100" w:type="dxa"/>
            <w:vAlign w:val="bottom"/>
            <w:shd w:val="clear" w:color="auto" w:fill="1E8085"/>
          </w:tcPr>
          <w:p>
            <w:pPr>
              <w:spacing w:after="0"/>
              <w:rPr>
                <w:sz w:val="24"/>
                <w:szCs w:val="24"/>
                <w:color w:val="auto"/>
              </w:rPr>
            </w:pPr>
          </w:p>
        </w:tc>
        <w:tc>
          <w:tcPr>
            <w:tcW w:w="4780" w:type="dxa"/>
            <w:vAlign w:val="bottom"/>
            <w:shd w:val="clear" w:color="auto" w:fill="1E8085"/>
          </w:tcPr>
          <w:p>
            <w:pPr>
              <w:ind w:left="260"/>
              <w:spacing w:after="0" w:line="229" w:lineRule="exact"/>
              <w:rPr>
                <w:sz w:val="20"/>
                <w:szCs w:val="20"/>
                <w:color w:val="auto"/>
              </w:rPr>
            </w:pPr>
            <w:r>
              <w:rPr>
                <w:rFonts w:ascii="SimSun" w:cs="SimSun" w:eastAsia="SimSun" w:hAnsi="SimSun"/>
                <w:sz w:val="20"/>
                <w:szCs w:val="20"/>
                <w:color w:val="FFFFFF"/>
              </w:rPr>
              <w:t>经营管理，提升效率和效益</w:t>
            </w:r>
          </w:p>
        </w:tc>
        <w:tc>
          <w:tcPr>
            <w:tcW w:w="0" w:type="dxa"/>
            <w:vAlign w:val="bottom"/>
          </w:tcPr>
          <w:p>
            <w:pPr>
              <w:spacing w:after="0"/>
              <w:rPr>
                <w:sz w:val="1"/>
                <w:szCs w:val="1"/>
                <w:color w:val="auto"/>
              </w:rPr>
            </w:pPr>
          </w:p>
        </w:tc>
      </w:tr>
      <w:tr>
        <w:trPr>
          <w:trHeight w:val="426"/>
        </w:trPr>
        <w:tc>
          <w:tcPr>
            <w:tcW w:w="1040" w:type="dxa"/>
            <w:vAlign w:val="bottom"/>
            <w:shd w:val="clear" w:color="auto" w:fill="1E8085"/>
          </w:tcPr>
          <w:p>
            <w:pPr>
              <w:spacing w:after="0"/>
              <w:rPr>
                <w:sz w:val="24"/>
                <w:szCs w:val="24"/>
                <w:color w:val="auto"/>
              </w:rPr>
            </w:pPr>
          </w:p>
        </w:tc>
        <w:tc>
          <w:tcPr>
            <w:tcW w:w="100" w:type="dxa"/>
            <w:vAlign w:val="bottom"/>
            <w:shd w:val="clear" w:color="auto" w:fill="1E8085"/>
          </w:tcPr>
          <w:p>
            <w:pPr>
              <w:spacing w:after="0"/>
              <w:rPr>
                <w:sz w:val="24"/>
                <w:szCs w:val="24"/>
                <w:color w:val="auto"/>
              </w:rPr>
            </w:pPr>
          </w:p>
        </w:tc>
        <w:tc>
          <w:tcPr>
            <w:tcW w:w="3660" w:type="dxa"/>
            <w:vAlign w:val="bottom"/>
            <w:shd w:val="clear" w:color="auto" w:fill="1E8085"/>
          </w:tcPr>
          <w:p>
            <w:pPr>
              <w:spacing w:after="0"/>
              <w:rPr>
                <w:sz w:val="24"/>
                <w:szCs w:val="24"/>
                <w:color w:val="auto"/>
              </w:rPr>
            </w:pPr>
          </w:p>
        </w:tc>
        <w:tc>
          <w:tcPr>
            <w:tcW w:w="540" w:type="dxa"/>
            <w:vAlign w:val="bottom"/>
            <w:shd w:val="clear" w:color="auto" w:fill="1E8085"/>
          </w:tcPr>
          <w:p>
            <w:pPr>
              <w:spacing w:after="0"/>
              <w:rPr>
                <w:sz w:val="24"/>
                <w:szCs w:val="24"/>
                <w:color w:val="auto"/>
              </w:rPr>
            </w:pPr>
          </w:p>
        </w:tc>
        <w:tc>
          <w:tcPr>
            <w:tcW w:w="100" w:type="dxa"/>
            <w:vAlign w:val="bottom"/>
            <w:shd w:val="clear" w:color="auto" w:fill="1E8085"/>
          </w:tcPr>
          <w:p>
            <w:pPr>
              <w:spacing w:after="0"/>
              <w:rPr>
                <w:sz w:val="24"/>
                <w:szCs w:val="24"/>
                <w:color w:val="auto"/>
              </w:rPr>
            </w:pPr>
          </w:p>
        </w:tc>
        <w:tc>
          <w:tcPr>
            <w:tcW w:w="4780" w:type="dxa"/>
            <w:vAlign w:val="bottom"/>
            <w:shd w:val="clear" w:color="auto" w:fill="1E8085"/>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330" w:lineRule="exact"/>
        <w:rPr>
          <w:rFonts w:ascii="SimSun" w:cs="SimSun" w:eastAsia="SimSun" w:hAnsi="SimSun"/>
          <w:sz w:val="20"/>
          <w:szCs w:val="20"/>
          <w:color w:val="221E1F"/>
        </w:rPr>
      </w:pPr>
    </w:p>
    <w:p>
      <w:pPr>
        <w:ind w:left="520"/>
        <w:spacing w:after="0" w:line="340" w:lineRule="exact"/>
        <w:tabs>
          <w:tab w:leader="none" w:pos="1820" w:val="left"/>
        </w:tabs>
        <w:rPr>
          <w:sz w:val="20"/>
          <w:szCs w:val="20"/>
          <w:color w:val="auto"/>
        </w:rPr>
      </w:pPr>
      <w:r>
        <w:rPr>
          <w:rFonts w:ascii="SimSun" w:cs="SimSun" w:eastAsia="SimSun" w:hAnsi="SimSun"/>
          <w:sz w:val="28"/>
          <w:szCs w:val="28"/>
          <w:color w:val="087887"/>
        </w:rPr>
        <w:t>学员反馈</w:t>
      </w:r>
      <w:r>
        <w:rPr>
          <w:sz w:val="20"/>
          <w:szCs w:val="20"/>
          <w:color w:val="auto"/>
        </w:rPr>
        <w:tab/>
      </w:r>
      <w:r>
        <w:rPr>
          <w:rFonts w:ascii="Arial" w:cs="Arial" w:eastAsia="Arial" w:hAnsi="Arial"/>
          <w:sz w:val="19"/>
          <w:szCs w:val="19"/>
          <w:color w:val="8D8D8D"/>
        </w:rPr>
        <w:t>FEEDBACKS</w:t>
      </w:r>
    </w:p>
    <w:p>
      <w:pPr>
        <w:spacing w:after="0" w:line="322" w:lineRule="exact"/>
        <w:rPr>
          <w:rFonts w:ascii="SimSun" w:cs="SimSun" w:eastAsia="SimSun" w:hAnsi="SimSun"/>
          <w:sz w:val="20"/>
          <w:szCs w:val="20"/>
          <w:color w:val="221E1F"/>
        </w:rPr>
      </w:pPr>
    </w:p>
    <w:p>
      <w:pPr>
        <w:ind w:left="500" w:right="60"/>
        <w:spacing w:after="0" w:line="360" w:lineRule="exact"/>
        <w:rPr>
          <w:sz w:val="20"/>
          <w:szCs w:val="20"/>
          <w:color w:val="auto"/>
        </w:rPr>
      </w:pPr>
      <w:r>
        <w:rPr>
          <w:rFonts w:ascii="SimSun" w:cs="SimSun" w:eastAsia="SimSun" w:hAnsi="SimSun"/>
          <w:sz w:val="20"/>
          <w:szCs w:val="20"/>
          <w:color w:val="221E1F"/>
        </w:rPr>
        <w:t>简单总结下这次非财务经理课程的培训：初步掌握资产负债表，损益表，现金流量表等会计基础；能够通过财务报表做简单的财务分析；学习了解全面预算管理和成本控制基本概念和方法；顺带一些有益的个人理财知识。通过培训，有利于强化当前经营管理活动中各类管理人员（包括项目 技术管理者）的财务思维与视角，促进业财融合。此</w:t>
      </w:r>
    </w:p>
    <w:p>
      <w:pPr>
        <w:spacing w:after="0" w:line="2" w:lineRule="exact"/>
        <w:rPr>
          <w:rFonts w:ascii="SimSun" w:cs="SimSun" w:eastAsia="SimSun" w:hAnsi="SimSun"/>
          <w:sz w:val="20"/>
          <w:szCs w:val="20"/>
          <w:color w:val="221E1F"/>
        </w:rPr>
      </w:pPr>
    </w:p>
    <w:p>
      <w:pPr>
        <w:ind w:left="500"/>
        <w:spacing w:after="0" w:line="229" w:lineRule="exact"/>
        <w:rPr>
          <w:sz w:val="20"/>
          <w:szCs w:val="20"/>
          <w:color w:val="auto"/>
        </w:rPr>
      </w:pPr>
      <w:r>
        <w:rPr>
          <w:rFonts w:ascii="SimSun" w:cs="SimSun" w:eastAsia="SimSun" w:hAnsi="SimSun"/>
          <w:sz w:val="20"/>
          <w:szCs w:val="20"/>
          <w:color w:val="221E1F"/>
        </w:rPr>
        <w:t>次课程为近几年听过的最精彩授课，所有参训学员都感到意犹未尽，获益匪浅！</w:t>
      </w: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6" w:lineRule="exact"/>
        <w:rPr>
          <w:rFonts w:ascii="SimSun" w:cs="SimSun" w:eastAsia="SimSun" w:hAnsi="SimSun"/>
          <w:sz w:val="20"/>
          <w:szCs w:val="20"/>
          <w:color w:val="221E1F"/>
        </w:rPr>
      </w:pPr>
    </w:p>
    <w:p>
      <w:pPr>
        <w:jc w:val="both"/>
        <w:ind w:left="500" w:right="240"/>
        <w:spacing w:after="0" w:line="378" w:lineRule="exact"/>
        <w:rPr>
          <w:sz w:val="20"/>
          <w:szCs w:val="20"/>
          <w:color w:val="auto"/>
        </w:rPr>
      </w:pPr>
      <w:r>
        <w:rPr>
          <w:rFonts w:ascii="SimSun" w:cs="SimSun" w:eastAsia="SimSun" w:hAnsi="SimSun"/>
          <w:sz w:val="20"/>
          <w:szCs w:val="20"/>
          <w:color w:val="221E1F"/>
        </w:rPr>
        <w:t>本次培训比过去接触的其他培训机构提供的相关课程有更多、更全的内容。所用实例分析清晰到位，进一步完善了相关的财务知识。通过本次培训，能对我自己今后工作给予更大的帮助。</w:t>
      </w:r>
    </w:p>
    <w:p>
      <w:pPr>
        <w:ind w:left="8700"/>
        <w:spacing w:after="0" w:line="229" w:lineRule="exact"/>
        <w:rPr>
          <w:sz w:val="20"/>
          <w:szCs w:val="20"/>
          <w:color w:val="auto"/>
        </w:rPr>
      </w:pPr>
      <w:r>
        <w:rPr>
          <w:rFonts w:ascii="SimSun" w:cs="SimSun" w:eastAsia="SimSun" w:hAnsi="SimSun"/>
          <w:sz w:val="20"/>
          <w:szCs w:val="20"/>
          <w:color w:val="221E1F"/>
        </w:rPr>
        <w:t>中化国际 王女士</w:t>
      </w:r>
    </w:p>
    <w:p>
      <w:pPr>
        <w:spacing w:after="0" w:line="200" w:lineRule="exact"/>
        <w:rPr>
          <w:rFonts w:ascii="SimSun" w:cs="SimSun" w:eastAsia="SimSun" w:hAnsi="SimSun"/>
          <w:sz w:val="20"/>
          <w:szCs w:val="20"/>
          <w:color w:val="221E1F"/>
        </w:rPr>
      </w:pPr>
    </w:p>
    <w:p>
      <w:pPr>
        <w:spacing w:after="0" w:line="317" w:lineRule="exact"/>
        <w:rPr>
          <w:rFonts w:ascii="SimSun" w:cs="SimSun" w:eastAsia="SimSun" w:hAnsi="SimSun"/>
          <w:sz w:val="20"/>
          <w:szCs w:val="20"/>
          <w:color w:val="221E1F"/>
        </w:rPr>
      </w:pPr>
    </w:p>
    <w:p>
      <w:pPr>
        <w:jc w:val="both"/>
        <w:ind w:left="520" w:right="240"/>
        <w:spacing w:after="0" w:line="360" w:lineRule="exact"/>
        <w:rPr>
          <w:sz w:val="20"/>
          <w:szCs w:val="20"/>
          <w:color w:val="auto"/>
        </w:rPr>
      </w:pPr>
      <w:r>
        <w:rPr>
          <w:rFonts w:ascii="SimSun" w:cs="SimSun" w:eastAsia="SimSun" w:hAnsi="SimSun"/>
          <w:sz w:val="20"/>
          <w:szCs w:val="20"/>
          <w:color w:val="221E1F"/>
        </w:rPr>
        <w:t>通过两天的学习，从一个财务知识的门外汉，逐步转化为对财务基本知识点有了大概的了解，可以通过看报表数据，基本了解一些企业的目前的运作情况，通过培训也知道了对有些财务指标的有效控制，从而使企业进入良性循环，健康，稳健发展，通过培训，也使我们进一步认识到财务的重要性，财务与业务也进一步沟通、合作，创造更</w:t>
      </w:r>
    </w:p>
    <w:p>
      <w:pPr>
        <w:spacing w:after="0" w:line="2" w:lineRule="exact"/>
        <w:rPr>
          <w:rFonts w:ascii="SimSun" w:cs="SimSun" w:eastAsia="SimSun" w:hAnsi="SimSun"/>
          <w:sz w:val="20"/>
          <w:szCs w:val="20"/>
          <w:color w:val="221E1F"/>
        </w:rPr>
      </w:pPr>
    </w:p>
    <w:p>
      <w:pPr>
        <w:ind w:left="520"/>
        <w:spacing w:after="0" w:line="229" w:lineRule="exact"/>
        <w:rPr>
          <w:sz w:val="20"/>
          <w:szCs w:val="20"/>
          <w:color w:val="auto"/>
        </w:rPr>
      </w:pPr>
      <w:r>
        <w:rPr>
          <w:rFonts w:ascii="SimSun" w:cs="SimSun" w:eastAsia="SimSun" w:hAnsi="SimSun"/>
          <w:sz w:val="20"/>
          <w:szCs w:val="20"/>
          <w:color w:val="221E1F"/>
        </w:rPr>
        <w:t>多价值。非常感谢安越提供的培训，给了我们很大的提升。</w:t>
      </w:r>
    </w:p>
    <w:p>
      <w:pPr>
        <w:spacing w:after="0" w:line="20" w:lineRule="exact"/>
        <w:rPr>
          <w:rFonts w:ascii="SimSun" w:cs="SimSun" w:eastAsia="SimSun" w:hAnsi="SimSun"/>
          <w:sz w:val="20"/>
          <w:szCs w:val="20"/>
          <w:color w:val="221E1F"/>
        </w:rPr>
      </w:pPr>
      <w:r>
        <w:rPr>
          <w:rFonts w:ascii="SimSun" w:cs="SimSun" w:eastAsia="SimSun" w:hAnsi="SimSun"/>
          <w:sz w:val="20"/>
          <w:szCs w:val="20"/>
          <w:color w:val="221E1F"/>
        </w:rPr>
        <mc:AlternateContent>
          <mc:Choice Requires="wps">
            <w:drawing>
              <wp:anchor simplePos="0" relativeHeight="251657728" behindDoc="1" locked="0" layoutInCell="0" allowOverlap="1">
                <wp:simplePos x="0" y="0"/>
                <wp:positionH relativeFrom="column">
                  <wp:posOffset>72390</wp:posOffset>
                </wp:positionH>
                <wp:positionV relativeFrom="paragraph">
                  <wp:posOffset>1203960</wp:posOffset>
                </wp:positionV>
                <wp:extent cx="677989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79895" cy="4763"/>
                        </a:xfrm>
                        <a:prstGeom prst="line">
                          <a:avLst/>
                        </a:prstGeom>
                        <a:solidFill>
                          <a:srgbClr val="FFFFFF"/>
                        </a:solidFill>
                        <a:ln w="6350">
                          <a:solidFill>
                            <a:srgbClr val="087887"/>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pt,94.8pt" to="539.55pt,94.8pt" o:allowincell="f" strokecolor="#087887" strokeweight="0.5pt"/>
            </w:pict>
          </mc:Fallback>
        </mc:AlternateContent>
      </w:r>
    </w:p>
    <w:p>
      <w:pPr>
        <w:sectPr>
          <w:pgSz w:w="11900" w:h="16838" w:orient="portrait"/>
          <w:cols w:equalWidth="0" w:num="1">
            <w:col w:w="10800"/>
          </w:cols>
          <w:pgMar w:left="500" w:top="1440" w:right="606" w:bottom="0" w:gutter="0" w:footer="0" w:header="0"/>
        </w:sect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200" w:lineRule="exact"/>
        <w:rPr>
          <w:rFonts w:ascii="SimSun" w:cs="SimSun" w:eastAsia="SimSun" w:hAnsi="SimSun"/>
          <w:sz w:val="20"/>
          <w:szCs w:val="20"/>
          <w:color w:val="221E1F"/>
        </w:rPr>
      </w:pPr>
    </w:p>
    <w:p>
      <w:pPr>
        <w:spacing w:after="0" w:line="329" w:lineRule="exact"/>
        <w:rPr>
          <w:rFonts w:ascii="SimSun" w:cs="SimSun" w:eastAsia="SimSun" w:hAnsi="SimSun"/>
          <w:sz w:val="20"/>
          <w:szCs w:val="20"/>
          <w:color w:val="221E1F"/>
        </w:rPr>
      </w:pPr>
    </w:p>
    <w:p>
      <w:pPr>
        <w:spacing w:after="0" w:line="243" w:lineRule="exact"/>
        <w:tabs>
          <w:tab w:leader="none" w:pos="5220" w:val="left"/>
          <w:tab w:leader="none" w:pos="9080" w:val="left"/>
        </w:tabs>
        <w:rPr>
          <w:sz w:val="20"/>
          <w:szCs w:val="20"/>
          <w:color w:val="auto"/>
        </w:rPr>
      </w:pPr>
      <w:r>
        <w:rPr>
          <w:rFonts w:ascii="SimSun" w:cs="SimSun" w:eastAsia="SimSun" w:hAnsi="SimSun"/>
          <w:sz w:val="20"/>
          <w:szCs w:val="20"/>
          <w:color w:val="323333"/>
        </w:rPr>
        <w:t>《非财务经理的财务课程</w:t>
      </w:r>
      <w:r>
        <w:rPr>
          <w:rFonts w:ascii="Arial" w:cs="Arial" w:eastAsia="Arial" w:hAnsi="Arial"/>
          <w:sz w:val="20"/>
          <w:szCs w:val="20"/>
          <w:color w:val="323333"/>
        </w:rPr>
        <w:t>(</w:t>
      </w:r>
      <w:r>
        <w:rPr>
          <w:rFonts w:ascii="SimSun" w:cs="SimSun" w:eastAsia="SimSun" w:hAnsi="SimSun"/>
          <w:sz w:val="20"/>
          <w:szCs w:val="20"/>
          <w:color w:val="323333"/>
        </w:rPr>
        <w:t>精要版</w:t>
      </w:r>
      <w:r>
        <w:rPr>
          <w:rFonts w:ascii="Arial" w:cs="Arial" w:eastAsia="Arial" w:hAnsi="Arial"/>
          <w:sz w:val="20"/>
          <w:szCs w:val="20"/>
          <w:color w:val="323333"/>
        </w:rPr>
        <w:t>)</w:t>
      </w:r>
      <w:r>
        <w:rPr>
          <w:rFonts w:ascii="SimSun" w:cs="SimSun" w:eastAsia="SimSun" w:hAnsi="SimSun"/>
          <w:sz w:val="20"/>
          <w:szCs w:val="20"/>
          <w:color w:val="323333"/>
        </w:rPr>
        <w:t>》</w:t>
      </w:r>
      <w:r>
        <w:rPr>
          <w:sz w:val="20"/>
          <w:szCs w:val="20"/>
          <w:color w:val="auto"/>
        </w:rPr>
        <w:tab/>
      </w:r>
      <w:r>
        <w:rPr>
          <w:rFonts w:ascii="Arial" w:cs="Arial" w:eastAsia="Arial" w:hAnsi="Arial"/>
          <w:sz w:val="20"/>
          <w:szCs w:val="20"/>
          <w:color w:val="231815"/>
        </w:rPr>
        <w:t>02</w:t>
      </w:r>
      <w:r>
        <w:rPr>
          <w:sz w:val="20"/>
          <w:szCs w:val="20"/>
          <w:color w:val="auto"/>
        </w:rPr>
        <w:tab/>
      </w:r>
      <w:r>
        <w:rPr>
          <w:rFonts w:ascii="SimSun" w:cs="SimSun" w:eastAsia="SimSun" w:hAnsi="SimSun"/>
          <w:sz w:val="19"/>
          <w:szCs w:val="19"/>
          <w:color w:val="323333"/>
        </w:rPr>
        <w:t>选择安越 因为专业</w:t>
      </w:r>
    </w:p>
    <w:p>
      <w:pPr>
        <w:sectPr>
          <w:pgSz w:w="11900" w:h="16838" w:orient="portrait"/>
          <w:cols w:equalWidth="0" w:num="1">
            <w:col w:w="10800"/>
          </w:cols>
          <w:pgMar w:left="500" w:top="1440" w:right="606" w:bottom="0" w:gutter="0" w:footer="0" w:header="0"/>
          <w:type w:val="continuous"/>
        </w:sectPr>
      </w:pPr>
    </w:p>
    <w:bookmarkStart w:id="3" w:name="page4"/>
    <w:bookmarkEnd w:id="3"/>
    <w:p>
      <w:pPr>
        <w:ind w:left="640"/>
        <w:spacing w:after="0"/>
        <w:tabs>
          <w:tab w:leader="none" w:pos="1808" w:val="left"/>
        </w:tabs>
        <w:rPr>
          <w:sz w:val="20"/>
          <w:szCs w:val="20"/>
          <w:color w:val="auto"/>
        </w:rPr>
      </w:pPr>
      <w:r>
        <w:rPr>
          <w:rFonts w:ascii="SimSun" w:cs="SimSun" w:eastAsia="SimSun" w:hAnsi="SimSun"/>
          <w:sz w:val="28"/>
          <w:szCs w:val="28"/>
          <w:color w:val="FFFFFF"/>
        </w:rPr>
        <w:drawing>
          <wp:anchor simplePos="0" relativeHeight="251657728" behindDoc="1" locked="0" layoutInCell="0" allowOverlap="1">
            <wp:simplePos x="0" y="0"/>
            <wp:positionH relativeFrom="page">
              <wp:posOffset>347345</wp:posOffset>
            </wp:positionH>
            <wp:positionV relativeFrom="page">
              <wp:posOffset>575945</wp:posOffset>
            </wp:positionV>
            <wp:extent cx="6805930" cy="8773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extLst>
                    </a:blip>
                    <a:srcRect/>
                    <a:stretch>
                      <a:fillRect/>
                    </a:stretch>
                  </pic:blipFill>
                  <pic:spPr bwMode="auto">
                    <a:xfrm>
                      <a:off x="0" y="0"/>
                      <a:ext cx="6805930" cy="8773160"/>
                    </a:xfrm>
                    <a:prstGeom prst="rect">
                      <a:avLst/>
                    </a:prstGeom>
                    <a:noFill/>
                  </pic:spPr>
                </pic:pic>
              </a:graphicData>
            </a:graphic>
          </wp:anchor>
        </w:drawing>
        <w:t>课程内容</w:t>
      </w:r>
      <w:r>
        <w:rPr>
          <w:sz w:val="20"/>
          <w:szCs w:val="20"/>
          <w:color w:val="auto"/>
        </w:rPr>
        <w:tab/>
      </w:r>
      <w:r>
        <w:rPr>
          <w:sz w:val="1"/>
          <w:szCs w:val="1"/>
          <w:color w:val="auto"/>
        </w:rPr>
        <w:drawing>
          <wp:inline distT="0" distB="0" distL="0" distR="0">
            <wp:extent cx="97155" cy="140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extLst>
                    </a:blip>
                    <a:srcRect/>
                    <a:stretch>
                      <a:fillRect/>
                    </a:stretch>
                  </pic:blipFill>
                  <pic:spPr bwMode="auto">
                    <a:xfrm>
                      <a:off x="0" y="0"/>
                      <a:ext cx="97155" cy="140335"/>
                    </a:xfrm>
                    <a:prstGeom prst="rect">
                      <a:avLst/>
                    </a:prstGeom>
                    <a:noFill/>
                    <a:ln>
                      <a:noFill/>
                    </a:ln>
                  </pic:spPr>
                </pic:pic>
              </a:graphicData>
            </a:graphic>
          </wp:inline>
        </w:drawing>
      </w:r>
      <w:r>
        <w:rPr>
          <w:rFonts w:ascii="Arial" w:cs="Arial" w:eastAsia="Arial" w:hAnsi="Arial"/>
          <w:sz w:val="16"/>
          <w:szCs w:val="16"/>
          <w:color w:val="FFFFFF"/>
        </w:rPr>
        <w:t xml:space="preserve"> COURSE CONTENT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640"/>
        <w:spacing w:after="0" w:line="480" w:lineRule="exact"/>
        <w:rPr>
          <w:sz w:val="20"/>
          <w:szCs w:val="20"/>
          <w:color w:val="auto"/>
        </w:rPr>
      </w:pPr>
      <w:r>
        <w:rPr>
          <w:rFonts w:ascii="SimSun" w:cs="SimSun" w:eastAsia="SimSun" w:hAnsi="SimSun"/>
          <w:sz w:val="42"/>
          <w:szCs w:val="42"/>
          <w:color w:val="087887"/>
        </w:rPr>
        <w:t>第一模块</w:t>
      </w:r>
    </w:p>
    <w:p>
      <w:pPr>
        <w:spacing w:after="0" w:line="156" w:lineRule="exact"/>
        <w:rPr>
          <w:sz w:val="20"/>
          <w:szCs w:val="20"/>
          <w:color w:val="auto"/>
        </w:rPr>
      </w:pPr>
    </w:p>
    <w:p>
      <w:pPr>
        <w:ind w:left="640"/>
        <w:spacing w:after="0" w:line="480" w:lineRule="exact"/>
        <w:rPr>
          <w:sz w:val="20"/>
          <w:szCs w:val="20"/>
          <w:color w:val="auto"/>
        </w:rPr>
      </w:pPr>
      <w:r>
        <w:rPr>
          <w:rFonts w:ascii="SimSun" w:cs="SimSun" w:eastAsia="SimSun" w:hAnsi="SimSun"/>
          <w:sz w:val="42"/>
          <w:szCs w:val="42"/>
          <w:color w:val="087887"/>
        </w:rPr>
        <w:t>经营视角全面系统认识财务</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940" w:hanging="296"/>
        <w:spacing w:after="0" w:line="243" w:lineRule="exact"/>
        <w:tabs>
          <w:tab w:leader="none" w:pos="940" w:val="left"/>
        </w:tabs>
        <w:numPr>
          <w:ilvl w:val="0"/>
          <w:numId w:val="2"/>
        </w:numPr>
        <w:rPr>
          <w:rFonts w:ascii="Arial" w:cs="Arial" w:eastAsia="Arial" w:hAnsi="Arial"/>
          <w:sz w:val="20"/>
          <w:szCs w:val="20"/>
          <w:color w:val="087887"/>
        </w:rPr>
      </w:pPr>
      <w:r>
        <w:rPr>
          <w:rFonts w:ascii="SimSun" w:cs="SimSun" w:eastAsia="SimSun" w:hAnsi="SimSun"/>
          <w:sz w:val="20"/>
          <w:szCs w:val="20"/>
          <w:color w:val="087887"/>
        </w:rPr>
        <w:t>案例导入：由个人财产状况分析到资产负债表</w:t>
      </w:r>
    </w:p>
    <w:p>
      <w:pPr>
        <w:spacing w:after="0" w:line="137" w:lineRule="exact"/>
        <w:rPr>
          <w:rFonts w:ascii="Arial" w:cs="Arial" w:eastAsia="Arial" w:hAnsi="Arial"/>
          <w:sz w:val="20"/>
          <w:szCs w:val="20"/>
          <w:color w:val="087887"/>
        </w:rPr>
      </w:pPr>
    </w:p>
    <w:p>
      <w:pPr>
        <w:ind w:left="940" w:hanging="296"/>
        <w:spacing w:after="0" w:line="243" w:lineRule="exact"/>
        <w:tabs>
          <w:tab w:leader="none" w:pos="940" w:val="left"/>
        </w:tabs>
        <w:numPr>
          <w:ilvl w:val="0"/>
          <w:numId w:val="2"/>
        </w:numPr>
        <w:rPr>
          <w:rFonts w:ascii="Arial" w:cs="Arial" w:eastAsia="Arial" w:hAnsi="Arial"/>
          <w:sz w:val="20"/>
          <w:szCs w:val="20"/>
          <w:color w:val="231815"/>
        </w:rPr>
      </w:pPr>
      <w:r>
        <w:rPr>
          <w:rFonts w:ascii="SimSun" w:cs="SimSun" w:eastAsia="SimSun" w:hAnsi="SimSun"/>
          <w:sz w:val="20"/>
          <w:szCs w:val="20"/>
          <w:color w:val="231815"/>
        </w:rPr>
        <w:t>全面认识企业的</w:t>
      </w:r>
      <w:r>
        <w:rPr>
          <w:rFonts w:ascii="Arial" w:cs="Arial" w:eastAsia="Arial" w:hAnsi="Arial"/>
          <w:sz w:val="20"/>
          <w:szCs w:val="20"/>
          <w:color w:val="231815"/>
        </w:rPr>
        <w:t>“</w:t>
      </w:r>
      <w:r>
        <w:rPr>
          <w:rFonts w:ascii="SimSun" w:cs="SimSun" w:eastAsia="SimSun" w:hAnsi="SimSun"/>
          <w:sz w:val="20"/>
          <w:szCs w:val="20"/>
          <w:color w:val="231815"/>
        </w:rPr>
        <w:t>仪表盘</w:t>
      </w:r>
      <w:r>
        <w:rPr>
          <w:rFonts w:ascii="Arial" w:cs="Arial" w:eastAsia="Arial" w:hAnsi="Arial"/>
          <w:sz w:val="20"/>
          <w:szCs w:val="20"/>
          <w:color w:val="231815"/>
        </w:rPr>
        <w:t xml:space="preserve">”   </w:t>
      </w:r>
      <w:r>
        <w:rPr>
          <w:rFonts w:ascii="SimSun" w:cs="SimSun" w:eastAsia="SimSun" w:hAnsi="SimSun"/>
          <w:sz w:val="20"/>
          <w:szCs w:val="20"/>
          <w:color w:val="231815"/>
        </w:rPr>
        <w:t>财务</w:t>
      </w:r>
    </w:p>
    <w:p>
      <w:pPr>
        <w:spacing w:after="0" w:line="173" w:lineRule="exact"/>
        <w:rPr>
          <w:rFonts w:ascii="Arial" w:cs="Arial" w:eastAsia="Arial" w:hAnsi="Arial"/>
          <w:sz w:val="20"/>
          <w:szCs w:val="20"/>
          <w:color w:val="231815"/>
        </w:rPr>
      </w:pPr>
    </w:p>
    <w:p>
      <w:pPr>
        <w:ind w:left="1260" w:hanging="267"/>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统一的目标：财务与业务融合，为企业创造价值</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统一的语言：财务会计是实现二者沟通的商业语言</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全价值链服务：财务对供应链各环节都起着支持作用</w:t>
      </w:r>
    </w:p>
    <w:p>
      <w:pPr>
        <w:spacing w:after="0" w:line="113" w:lineRule="exact"/>
        <w:rPr>
          <w:rFonts w:ascii="Arial" w:cs="Arial" w:eastAsia="Arial" w:hAnsi="Arial"/>
          <w:sz w:val="20"/>
          <w:szCs w:val="20"/>
          <w:color w:val="595757"/>
        </w:rPr>
      </w:pPr>
    </w:p>
    <w:p>
      <w:pPr>
        <w:ind w:left="940" w:hanging="296"/>
        <w:spacing w:after="0" w:line="243" w:lineRule="exact"/>
        <w:tabs>
          <w:tab w:leader="none" w:pos="940" w:val="left"/>
        </w:tabs>
        <w:numPr>
          <w:ilvl w:val="0"/>
          <w:numId w:val="2"/>
        </w:numPr>
        <w:rPr>
          <w:rFonts w:ascii="Arial" w:cs="Arial" w:eastAsia="Arial" w:hAnsi="Arial"/>
          <w:sz w:val="20"/>
          <w:szCs w:val="20"/>
          <w:color w:val="231815"/>
        </w:rPr>
      </w:pPr>
      <w:r>
        <w:rPr>
          <w:rFonts w:ascii="SimSun" w:cs="SimSun" w:eastAsia="SimSun" w:hAnsi="SimSun"/>
          <w:sz w:val="20"/>
          <w:szCs w:val="20"/>
          <w:color w:val="231815"/>
        </w:rPr>
        <w:t>企业的</w:t>
      </w:r>
      <w:r>
        <w:rPr>
          <w:rFonts w:ascii="Arial" w:cs="Arial" w:eastAsia="Arial" w:hAnsi="Arial"/>
          <w:sz w:val="20"/>
          <w:szCs w:val="20"/>
          <w:color w:val="231815"/>
        </w:rPr>
        <w:t>“</w:t>
      </w:r>
      <w:r>
        <w:rPr>
          <w:rFonts w:ascii="SimSun" w:cs="SimSun" w:eastAsia="SimSun" w:hAnsi="SimSun"/>
          <w:sz w:val="20"/>
          <w:szCs w:val="20"/>
          <w:color w:val="231815"/>
        </w:rPr>
        <w:t>底子</w:t>
      </w:r>
      <w:r>
        <w:rPr>
          <w:rFonts w:ascii="Arial" w:cs="Arial" w:eastAsia="Arial" w:hAnsi="Arial"/>
          <w:sz w:val="20"/>
          <w:szCs w:val="20"/>
          <w:color w:val="231815"/>
        </w:rPr>
        <w:t>”</w:t>
      </w:r>
      <w:r>
        <w:rPr>
          <w:rFonts w:ascii="SimSun" w:cs="SimSun" w:eastAsia="SimSun" w:hAnsi="SimSun"/>
          <w:sz w:val="20"/>
          <w:szCs w:val="20"/>
          <w:color w:val="231815"/>
        </w:rPr>
        <w:t>：资产负债表</w:t>
      </w:r>
    </w:p>
    <w:p>
      <w:pPr>
        <w:spacing w:after="0" w:line="173" w:lineRule="exact"/>
        <w:rPr>
          <w:rFonts w:ascii="Arial" w:cs="Arial" w:eastAsia="Arial" w:hAnsi="Arial"/>
          <w:sz w:val="20"/>
          <w:szCs w:val="20"/>
          <w:color w:val="231815"/>
        </w:rPr>
      </w:pPr>
    </w:p>
    <w:p>
      <w:pPr>
        <w:ind w:left="1260" w:hanging="267"/>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资产负债表为什么是平衡表</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如何理解资产负债表的逻辑结构和各项财务数字</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从管理的角度重新解读复式计账法</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各部门的各项经营活动在报表上怎样反映</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从公司财务管理的角度重新审视资产负债表</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2"/>
        </w:numPr>
        <w:rPr>
          <w:rFonts w:ascii="Arial" w:cs="Arial" w:eastAsia="Arial" w:hAnsi="Arial"/>
          <w:sz w:val="20"/>
          <w:szCs w:val="20"/>
          <w:color w:val="595757"/>
        </w:rPr>
      </w:pPr>
      <w:r>
        <w:rPr>
          <w:rFonts w:ascii="SimSun" w:cs="SimSun" w:eastAsia="SimSun" w:hAnsi="SimSun"/>
          <w:sz w:val="18"/>
          <w:szCs w:val="18"/>
          <w:color w:val="595757"/>
        </w:rPr>
        <w:t>资产负债表在日常经营中的指导意义</w:t>
      </w:r>
    </w:p>
    <w:p>
      <w:pPr>
        <w:spacing w:after="0" w:line="200" w:lineRule="exact"/>
        <w:rPr>
          <w:sz w:val="20"/>
          <w:szCs w:val="20"/>
          <w:color w:val="auto"/>
        </w:rPr>
      </w:pPr>
    </w:p>
    <w:p>
      <w:pPr>
        <w:spacing w:after="0" w:line="381" w:lineRule="exact"/>
        <w:rPr>
          <w:sz w:val="20"/>
          <w:szCs w:val="20"/>
          <w:color w:val="auto"/>
        </w:rPr>
      </w:pPr>
    </w:p>
    <w:p>
      <w:pPr>
        <w:ind w:left="640"/>
        <w:spacing w:after="0" w:line="480" w:lineRule="exact"/>
        <w:rPr>
          <w:sz w:val="20"/>
          <w:szCs w:val="20"/>
          <w:color w:val="auto"/>
        </w:rPr>
      </w:pPr>
      <w:r>
        <w:rPr>
          <w:rFonts w:ascii="SimSun" w:cs="SimSun" w:eastAsia="SimSun" w:hAnsi="SimSun"/>
          <w:sz w:val="42"/>
          <w:szCs w:val="42"/>
          <w:color w:val="087887"/>
        </w:rPr>
        <w:t>第二模块</w:t>
      </w:r>
    </w:p>
    <w:p>
      <w:pPr>
        <w:spacing w:after="0" w:line="171" w:lineRule="exact"/>
        <w:rPr>
          <w:sz w:val="20"/>
          <w:szCs w:val="20"/>
          <w:color w:val="auto"/>
        </w:rPr>
      </w:pPr>
    </w:p>
    <w:p>
      <w:pPr>
        <w:ind w:left="640"/>
        <w:spacing w:after="0" w:line="468" w:lineRule="exact"/>
        <w:rPr>
          <w:sz w:val="20"/>
          <w:szCs w:val="20"/>
          <w:color w:val="auto"/>
        </w:rPr>
      </w:pPr>
      <w:r>
        <w:rPr>
          <w:rFonts w:ascii="SimSun" w:cs="SimSun" w:eastAsia="SimSun" w:hAnsi="SimSun"/>
          <w:sz w:val="41"/>
          <w:szCs w:val="41"/>
          <w:color w:val="087887"/>
        </w:rPr>
        <w:t>从经营管理的角度解读利润表</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940" w:hanging="296"/>
        <w:spacing w:after="0" w:line="243" w:lineRule="exact"/>
        <w:tabs>
          <w:tab w:leader="none" w:pos="940" w:val="left"/>
        </w:tabs>
        <w:numPr>
          <w:ilvl w:val="0"/>
          <w:numId w:val="3"/>
        </w:numPr>
        <w:rPr>
          <w:rFonts w:ascii="Arial" w:cs="Arial" w:eastAsia="Arial" w:hAnsi="Arial"/>
          <w:sz w:val="20"/>
          <w:szCs w:val="20"/>
          <w:color w:val="231815"/>
        </w:rPr>
      </w:pPr>
      <w:r>
        <w:rPr>
          <w:rFonts w:ascii="SimSun" w:cs="SimSun" w:eastAsia="SimSun" w:hAnsi="SimSun"/>
          <w:sz w:val="20"/>
          <w:szCs w:val="20"/>
          <w:color w:val="231815"/>
        </w:rPr>
        <w:t>利润表上的各项数据分析</w:t>
      </w:r>
    </w:p>
    <w:p>
      <w:pPr>
        <w:spacing w:after="0" w:line="173" w:lineRule="exact"/>
        <w:rPr>
          <w:rFonts w:ascii="Arial" w:cs="Arial" w:eastAsia="Arial" w:hAnsi="Arial"/>
          <w:sz w:val="20"/>
          <w:szCs w:val="20"/>
          <w:color w:val="231815"/>
        </w:rPr>
      </w:pPr>
    </w:p>
    <w:p>
      <w:pPr>
        <w:ind w:left="1280" w:hanging="267"/>
        <w:spacing w:after="0" w:line="230" w:lineRule="exact"/>
        <w:tabs>
          <w:tab w:leader="none" w:pos="1280" w:val="left"/>
        </w:tabs>
        <w:numPr>
          <w:ilvl w:val="2"/>
          <w:numId w:val="3"/>
        </w:numPr>
        <w:rPr>
          <w:rFonts w:ascii="Arial" w:cs="Arial" w:eastAsia="Arial" w:hAnsi="Arial"/>
          <w:sz w:val="20"/>
          <w:szCs w:val="20"/>
          <w:color w:val="595757"/>
        </w:rPr>
      </w:pPr>
      <w:r>
        <w:rPr>
          <w:rFonts w:ascii="SimSun" w:cs="SimSun" w:eastAsia="SimSun" w:hAnsi="SimSun"/>
          <w:sz w:val="18"/>
          <w:szCs w:val="18"/>
          <w:color w:val="595757"/>
        </w:rPr>
        <w:t>收入是如何确认的</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3"/>
        </w:numPr>
        <w:rPr>
          <w:rFonts w:ascii="Arial" w:cs="Arial" w:eastAsia="Arial" w:hAnsi="Arial"/>
          <w:sz w:val="20"/>
          <w:szCs w:val="20"/>
          <w:color w:val="595757"/>
        </w:rPr>
      </w:pPr>
      <w:r>
        <w:rPr>
          <w:rFonts w:ascii="SimSun" w:cs="SimSun" w:eastAsia="SimSun" w:hAnsi="SimSun"/>
          <w:sz w:val="18"/>
          <w:szCs w:val="18"/>
          <w:color w:val="595757"/>
        </w:rPr>
        <w:t>正确认识增值税及增值税对企业运作的影响</w:t>
      </w:r>
    </w:p>
    <w:p>
      <w:pPr>
        <w:spacing w:after="0" w:line="150" w:lineRule="exact"/>
        <w:rPr>
          <w:rFonts w:ascii="Arial" w:cs="Arial" w:eastAsia="Arial" w:hAnsi="Arial"/>
          <w:sz w:val="20"/>
          <w:szCs w:val="20"/>
          <w:color w:val="595757"/>
        </w:rPr>
      </w:pPr>
    </w:p>
    <w:p>
      <w:pPr>
        <w:ind w:left="1260" w:hanging="268"/>
        <w:spacing w:after="0" w:line="230" w:lineRule="exact"/>
        <w:tabs>
          <w:tab w:leader="none" w:pos="1260" w:val="left"/>
        </w:tabs>
        <w:numPr>
          <w:ilvl w:val="1"/>
          <w:numId w:val="3"/>
        </w:numPr>
        <w:rPr>
          <w:rFonts w:ascii="Arial" w:cs="Arial" w:eastAsia="Arial" w:hAnsi="Arial"/>
          <w:sz w:val="20"/>
          <w:szCs w:val="20"/>
          <w:color w:val="595757"/>
        </w:rPr>
      </w:pPr>
      <w:r>
        <w:rPr>
          <w:rFonts w:ascii="SimSun" w:cs="SimSun" w:eastAsia="SimSun" w:hAnsi="SimSun"/>
          <w:sz w:val="18"/>
          <w:szCs w:val="18"/>
          <w:color w:val="595757"/>
        </w:rPr>
        <w:t>理解各项成本费用：生产成本、销售费用、管理费用等</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92710</wp:posOffset>
                </wp:positionH>
                <wp:positionV relativeFrom="paragraph">
                  <wp:posOffset>1758315</wp:posOffset>
                </wp:positionV>
                <wp:extent cx="677989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79895" cy="4763"/>
                        </a:xfrm>
                        <a:prstGeom prst="line">
                          <a:avLst/>
                        </a:prstGeom>
                        <a:solidFill>
                          <a:srgbClr val="FFFFFF"/>
                        </a:solidFill>
                        <a:ln w="6350">
                          <a:solidFill>
                            <a:srgbClr val="087887"/>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pt,138.45pt" to="541.15pt,138.45pt" o:allowincell="f" strokecolor="#087887" strokeweight="0.5pt"/>
            </w:pict>
          </mc:Fallback>
        </mc:AlternateContent>
      </w:r>
    </w:p>
    <w:p>
      <w:pPr>
        <w:sectPr>
          <w:pgSz w:w="11900" w:h="16838" w:orient="portrait"/>
          <w:cols w:equalWidth="0" w:num="1">
            <w:col w:w="10820"/>
          </w:cols>
          <w:pgMar w:left="420" w:top="940" w:right="6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line="243" w:lineRule="exact"/>
        <w:tabs>
          <w:tab w:leader="none" w:pos="5300" w:val="left"/>
          <w:tab w:leader="none" w:pos="9120" w:val="left"/>
        </w:tabs>
        <w:rPr>
          <w:sz w:val="20"/>
          <w:szCs w:val="20"/>
          <w:color w:val="auto"/>
        </w:rPr>
      </w:pPr>
      <w:r>
        <w:rPr>
          <w:rFonts w:ascii="SimSun" w:cs="SimSun" w:eastAsia="SimSun" w:hAnsi="SimSun"/>
          <w:sz w:val="20"/>
          <w:szCs w:val="20"/>
          <w:color w:val="323333"/>
        </w:rPr>
        <w:t>《非财务经理的财务课程</w:t>
      </w:r>
      <w:r>
        <w:rPr>
          <w:rFonts w:ascii="Arial" w:cs="Arial" w:eastAsia="Arial" w:hAnsi="Arial"/>
          <w:sz w:val="20"/>
          <w:szCs w:val="20"/>
          <w:color w:val="323333"/>
        </w:rPr>
        <w:t>(</w:t>
      </w:r>
      <w:r>
        <w:rPr>
          <w:rFonts w:ascii="SimSun" w:cs="SimSun" w:eastAsia="SimSun" w:hAnsi="SimSun"/>
          <w:sz w:val="20"/>
          <w:szCs w:val="20"/>
          <w:color w:val="323333"/>
        </w:rPr>
        <w:t>精要版</w:t>
      </w:r>
      <w:r>
        <w:rPr>
          <w:rFonts w:ascii="Arial" w:cs="Arial" w:eastAsia="Arial" w:hAnsi="Arial"/>
          <w:sz w:val="20"/>
          <w:szCs w:val="20"/>
          <w:color w:val="323333"/>
        </w:rPr>
        <w:t>)</w:t>
      </w:r>
      <w:r>
        <w:rPr>
          <w:rFonts w:ascii="SimSun" w:cs="SimSun" w:eastAsia="SimSun" w:hAnsi="SimSun"/>
          <w:sz w:val="20"/>
          <w:szCs w:val="20"/>
          <w:color w:val="323333"/>
        </w:rPr>
        <w:t>》</w:t>
      </w:r>
      <w:r>
        <w:rPr>
          <w:sz w:val="20"/>
          <w:szCs w:val="20"/>
          <w:color w:val="auto"/>
        </w:rPr>
        <w:tab/>
      </w:r>
      <w:r>
        <w:rPr>
          <w:rFonts w:ascii="Arial" w:cs="Arial" w:eastAsia="Arial" w:hAnsi="Arial"/>
          <w:sz w:val="20"/>
          <w:szCs w:val="20"/>
          <w:color w:val="231815"/>
        </w:rPr>
        <w:t>03</w:t>
      </w:r>
      <w:r>
        <w:rPr>
          <w:sz w:val="20"/>
          <w:szCs w:val="20"/>
          <w:color w:val="auto"/>
        </w:rPr>
        <w:tab/>
      </w:r>
      <w:r>
        <w:rPr>
          <w:rFonts w:ascii="SimSun" w:cs="SimSun" w:eastAsia="SimSun" w:hAnsi="SimSun"/>
          <w:sz w:val="19"/>
          <w:szCs w:val="19"/>
          <w:color w:val="323333"/>
        </w:rPr>
        <w:t>选择安越 因为专业</w:t>
      </w:r>
    </w:p>
    <w:p>
      <w:pPr>
        <w:sectPr>
          <w:pgSz w:w="11900" w:h="16838" w:orient="portrait"/>
          <w:cols w:equalWidth="0" w:num="1">
            <w:col w:w="10820"/>
          </w:cols>
          <w:pgMar w:left="420" w:top="940" w:right="666" w:bottom="0" w:gutter="0" w:footer="0" w:header="0"/>
          <w:type w:val="continuous"/>
        </w:sectPr>
      </w:pPr>
    </w:p>
    <w:bookmarkStart w:id="4" w:name="page5"/>
    <w:bookmarkEnd w:id="4"/>
    <w:p>
      <w:pPr>
        <w:ind w:left="620"/>
        <w:spacing w:after="0"/>
        <w:tabs>
          <w:tab w:leader="none" w:pos="1839" w:val="left"/>
        </w:tabs>
        <w:rPr>
          <w:sz w:val="20"/>
          <w:szCs w:val="20"/>
          <w:color w:val="auto"/>
        </w:rPr>
      </w:pPr>
      <w:r>
        <w:rPr>
          <w:rFonts w:ascii="SimSun" w:cs="SimSun" w:eastAsia="SimSun" w:hAnsi="SimSun"/>
          <w:sz w:val="28"/>
          <w:szCs w:val="28"/>
          <w:color w:val="FFFFFF"/>
        </w:rPr>
        <w:drawing>
          <wp:anchor simplePos="0" relativeHeight="251657728" behindDoc="1" locked="0" layoutInCell="0" allowOverlap="1">
            <wp:simplePos x="0" y="0"/>
            <wp:positionH relativeFrom="page">
              <wp:posOffset>0</wp:posOffset>
            </wp:positionH>
            <wp:positionV relativeFrom="page">
              <wp:posOffset>588010</wp:posOffset>
            </wp:positionV>
            <wp:extent cx="7145655" cy="8763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extLst>
                    </a:blip>
                    <a:srcRect/>
                    <a:stretch>
                      <a:fillRect/>
                    </a:stretch>
                  </pic:blipFill>
                  <pic:spPr bwMode="auto">
                    <a:xfrm>
                      <a:off x="0" y="0"/>
                      <a:ext cx="7145655" cy="8763000"/>
                    </a:xfrm>
                    <a:prstGeom prst="rect">
                      <a:avLst/>
                    </a:prstGeom>
                    <a:noFill/>
                  </pic:spPr>
                </pic:pic>
              </a:graphicData>
            </a:graphic>
          </wp:anchor>
        </w:drawing>
        <w:t>课程内容</w:t>
      </w:r>
      <w:r>
        <w:rPr>
          <w:sz w:val="20"/>
          <w:szCs w:val="20"/>
          <w:color w:val="auto"/>
        </w:rPr>
        <w:tab/>
      </w:r>
      <w:r>
        <w:rPr>
          <w:sz w:val="1"/>
          <w:szCs w:val="1"/>
          <w:color w:val="auto"/>
        </w:rPr>
        <w:drawing>
          <wp:inline distT="0" distB="0" distL="0" distR="0">
            <wp:extent cx="101600" cy="140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extLst>
                    </a:blip>
                    <a:srcRect/>
                    <a:stretch>
                      <a:fillRect/>
                    </a:stretch>
                  </pic:blipFill>
                  <pic:spPr bwMode="auto">
                    <a:xfrm>
                      <a:off x="0" y="0"/>
                      <a:ext cx="101600" cy="140335"/>
                    </a:xfrm>
                    <a:prstGeom prst="rect">
                      <a:avLst/>
                    </a:prstGeom>
                    <a:noFill/>
                    <a:ln>
                      <a:noFill/>
                    </a:ln>
                  </pic:spPr>
                </pic:pic>
              </a:graphicData>
            </a:graphic>
          </wp:inline>
        </w:drawing>
      </w:r>
      <w:r>
        <w:rPr>
          <w:rFonts w:ascii="Arial" w:cs="Arial" w:eastAsia="Arial" w:hAnsi="Arial"/>
          <w:sz w:val="16"/>
          <w:szCs w:val="16"/>
          <w:color w:val="FFFFFF"/>
        </w:rPr>
        <w:t xml:space="preserve"> COURSE CONTENT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900" w:hanging="289"/>
        <w:spacing w:after="0" w:line="243" w:lineRule="exact"/>
        <w:tabs>
          <w:tab w:leader="none" w:pos="900" w:val="left"/>
        </w:tabs>
        <w:numPr>
          <w:ilvl w:val="0"/>
          <w:numId w:val="4"/>
        </w:numPr>
        <w:rPr>
          <w:rFonts w:ascii="Arial" w:cs="Arial" w:eastAsia="Arial" w:hAnsi="Arial"/>
          <w:sz w:val="20"/>
          <w:szCs w:val="20"/>
          <w:color w:val="231815"/>
        </w:rPr>
      </w:pPr>
      <w:r>
        <w:rPr>
          <w:rFonts w:ascii="SimSun" w:cs="SimSun" w:eastAsia="SimSun" w:hAnsi="SimSun"/>
          <w:sz w:val="20"/>
          <w:szCs w:val="20"/>
          <w:color w:val="231815"/>
        </w:rPr>
        <w:t>从管理的角度解读利润表</w:t>
      </w:r>
    </w:p>
    <w:p>
      <w:pPr>
        <w:spacing w:after="0" w:line="173" w:lineRule="exact"/>
        <w:rPr>
          <w:rFonts w:ascii="Arial" w:cs="Arial" w:eastAsia="Arial" w:hAnsi="Arial"/>
          <w:sz w:val="20"/>
          <w:szCs w:val="20"/>
          <w:color w:val="231815"/>
        </w:rPr>
      </w:pPr>
    </w:p>
    <w:p>
      <w:pPr>
        <w:ind w:left="1320" w:hanging="270"/>
        <w:spacing w:after="0" w:line="230" w:lineRule="exact"/>
        <w:tabs>
          <w:tab w:leader="none" w:pos="1320" w:val="left"/>
        </w:tabs>
        <w:numPr>
          <w:ilvl w:val="3"/>
          <w:numId w:val="4"/>
        </w:numPr>
        <w:rPr>
          <w:rFonts w:ascii="Arial" w:cs="Arial" w:eastAsia="Arial" w:hAnsi="Arial"/>
          <w:sz w:val="20"/>
          <w:szCs w:val="20"/>
          <w:color w:val="595757"/>
        </w:rPr>
      </w:pPr>
      <w:r>
        <w:rPr>
          <w:rFonts w:ascii="SimSun" w:cs="SimSun" w:eastAsia="SimSun" w:hAnsi="SimSun"/>
          <w:sz w:val="18"/>
          <w:szCs w:val="18"/>
          <w:color w:val="595757"/>
        </w:rPr>
        <w:t>利润是如何形成的</w:t>
      </w:r>
    </w:p>
    <w:p>
      <w:pPr>
        <w:spacing w:after="0" w:line="150" w:lineRule="exact"/>
        <w:rPr>
          <w:rFonts w:ascii="Arial" w:cs="Arial" w:eastAsia="Arial" w:hAnsi="Arial"/>
          <w:sz w:val="20"/>
          <w:szCs w:val="20"/>
          <w:color w:val="595757"/>
        </w:rPr>
      </w:pPr>
    </w:p>
    <w:p>
      <w:pPr>
        <w:ind w:left="1320" w:hanging="270"/>
        <w:spacing w:after="0" w:line="230" w:lineRule="exact"/>
        <w:tabs>
          <w:tab w:leader="none" w:pos="1320" w:val="left"/>
        </w:tabs>
        <w:numPr>
          <w:ilvl w:val="3"/>
          <w:numId w:val="4"/>
        </w:numPr>
        <w:rPr>
          <w:rFonts w:ascii="Arial" w:cs="Arial" w:eastAsia="Arial" w:hAnsi="Arial"/>
          <w:sz w:val="20"/>
          <w:szCs w:val="20"/>
          <w:color w:val="595757"/>
        </w:rPr>
      </w:pPr>
      <w:r>
        <w:rPr>
          <w:rFonts w:ascii="SimSun" w:cs="SimSun" w:eastAsia="SimSun" w:hAnsi="SimSun"/>
          <w:sz w:val="18"/>
          <w:szCs w:val="18"/>
          <w:color w:val="595757"/>
        </w:rPr>
        <w:t>利润表中的重要项目</w:t>
      </w:r>
    </w:p>
    <w:p>
      <w:pPr>
        <w:spacing w:after="0" w:line="150" w:lineRule="exact"/>
        <w:rPr>
          <w:rFonts w:ascii="Arial" w:cs="Arial" w:eastAsia="Arial" w:hAnsi="Arial"/>
          <w:sz w:val="20"/>
          <w:szCs w:val="20"/>
          <w:color w:val="595757"/>
        </w:rPr>
      </w:pPr>
    </w:p>
    <w:p>
      <w:pPr>
        <w:ind w:left="1320" w:hanging="270"/>
        <w:spacing w:after="0" w:line="230" w:lineRule="exact"/>
        <w:tabs>
          <w:tab w:leader="none" w:pos="1320" w:val="left"/>
        </w:tabs>
        <w:numPr>
          <w:ilvl w:val="3"/>
          <w:numId w:val="4"/>
        </w:numPr>
        <w:rPr>
          <w:rFonts w:ascii="Arial" w:cs="Arial" w:eastAsia="Arial" w:hAnsi="Arial"/>
          <w:sz w:val="20"/>
          <w:szCs w:val="20"/>
          <w:color w:val="595757"/>
        </w:rPr>
      </w:pPr>
      <w:r>
        <w:rPr>
          <w:rFonts w:ascii="SimSun" w:cs="SimSun" w:eastAsia="SimSun" w:hAnsi="SimSun"/>
          <w:sz w:val="18"/>
          <w:szCs w:val="18"/>
          <w:color w:val="595757"/>
        </w:rPr>
        <w:t>如何从管理的角度理解利润表</w:t>
      </w:r>
    </w:p>
    <w:p>
      <w:pPr>
        <w:spacing w:after="0" w:line="150" w:lineRule="exact"/>
        <w:rPr>
          <w:rFonts w:ascii="Arial" w:cs="Arial" w:eastAsia="Arial" w:hAnsi="Arial"/>
          <w:sz w:val="20"/>
          <w:szCs w:val="20"/>
          <w:color w:val="595757"/>
        </w:rPr>
      </w:pPr>
    </w:p>
    <w:p>
      <w:pPr>
        <w:ind w:left="1320" w:hanging="270"/>
        <w:spacing w:after="0" w:line="230" w:lineRule="exact"/>
        <w:tabs>
          <w:tab w:leader="none" w:pos="1320" w:val="left"/>
        </w:tabs>
        <w:numPr>
          <w:ilvl w:val="3"/>
          <w:numId w:val="4"/>
        </w:numPr>
        <w:rPr>
          <w:rFonts w:ascii="Arial" w:cs="Arial" w:eastAsia="Arial" w:hAnsi="Arial"/>
          <w:sz w:val="20"/>
          <w:szCs w:val="20"/>
          <w:color w:val="595757"/>
        </w:rPr>
      </w:pPr>
      <w:r>
        <w:rPr>
          <w:rFonts w:ascii="SimSun" w:cs="SimSun" w:eastAsia="SimSun" w:hAnsi="SimSun"/>
          <w:sz w:val="18"/>
          <w:szCs w:val="18"/>
          <w:color w:val="595757"/>
        </w:rPr>
        <w:t>应收账款的坏账、存货的减值、固定资产折旧等对利润的影响</w:t>
      </w:r>
    </w:p>
    <w:p>
      <w:pPr>
        <w:spacing w:after="0" w:line="113" w:lineRule="exact"/>
        <w:rPr>
          <w:rFonts w:ascii="Arial" w:cs="Arial" w:eastAsia="Arial" w:hAnsi="Arial"/>
          <w:sz w:val="20"/>
          <w:szCs w:val="20"/>
          <w:color w:val="595757"/>
        </w:rPr>
      </w:pPr>
    </w:p>
    <w:p>
      <w:pPr>
        <w:ind w:left="900" w:hanging="289"/>
        <w:spacing w:after="0" w:line="243" w:lineRule="exact"/>
        <w:tabs>
          <w:tab w:leader="none" w:pos="900" w:val="left"/>
        </w:tabs>
        <w:numPr>
          <w:ilvl w:val="0"/>
          <w:numId w:val="4"/>
        </w:numPr>
        <w:rPr>
          <w:rFonts w:ascii="Arial" w:cs="Arial" w:eastAsia="Arial" w:hAnsi="Arial"/>
          <w:sz w:val="20"/>
          <w:szCs w:val="20"/>
          <w:color w:val="087887"/>
        </w:rPr>
      </w:pPr>
      <w:r>
        <w:rPr>
          <w:rFonts w:ascii="SimSun" w:cs="SimSun" w:eastAsia="SimSun" w:hAnsi="SimSun"/>
          <w:sz w:val="20"/>
          <w:szCs w:val="20"/>
          <w:color w:val="087887"/>
        </w:rPr>
        <w:t>深度解析：公司各项经营活动如何在利润报表上反映？</w:t>
      </w:r>
    </w:p>
    <w:p>
      <w:pPr>
        <w:spacing w:after="0" w:line="137" w:lineRule="exact"/>
        <w:rPr>
          <w:rFonts w:ascii="Arial" w:cs="Arial" w:eastAsia="Arial" w:hAnsi="Arial"/>
          <w:sz w:val="20"/>
          <w:szCs w:val="20"/>
          <w:color w:val="087887"/>
        </w:rPr>
      </w:pPr>
    </w:p>
    <w:p>
      <w:pPr>
        <w:ind w:left="900" w:hanging="289"/>
        <w:spacing w:after="0" w:line="243" w:lineRule="exact"/>
        <w:tabs>
          <w:tab w:leader="none" w:pos="900" w:val="left"/>
        </w:tabs>
        <w:numPr>
          <w:ilvl w:val="0"/>
          <w:numId w:val="4"/>
        </w:numPr>
        <w:rPr>
          <w:rFonts w:ascii="Arial" w:cs="Arial" w:eastAsia="Arial" w:hAnsi="Arial"/>
          <w:sz w:val="20"/>
          <w:szCs w:val="20"/>
          <w:color w:val="087887"/>
        </w:rPr>
      </w:pPr>
      <w:r>
        <w:rPr>
          <w:rFonts w:ascii="SimSun" w:cs="SimSun" w:eastAsia="SimSun" w:hAnsi="SimSun"/>
          <w:sz w:val="20"/>
          <w:szCs w:val="20"/>
          <w:color w:val="087887"/>
        </w:rPr>
        <w:t>思考与讨论：早开发票或晚开发票是怎样影响利润的？</w:t>
      </w:r>
    </w:p>
    <w:p>
      <w:pPr>
        <w:spacing w:after="0" w:line="137" w:lineRule="exact"/>
        <w:rPr>
          <w:rFonts w:ascii="Arial" w:cs="Arial" w:eastAsia="Arial" w:hAnsi="Arial"/>
          <w:sz w:val="20"/>
          <w:szCs w:val="20"/>
          <w:color w:val="087887"/>
        </w:rPr>
      </w:pPr>
    </w:p>
    <w:p>
      <w:pPr>
        <w:ind w:left="900" w:hanging="289"/>
        <w:spacing w:after="0" w:line="243" w:lineRule="exact"/>
        <w:tabs>
          <w:tab w:leader="none" w:pos="900" w:val="left"/>
        </w:tabs>
        <w:numPr>
          <w:ilvl w:val="0"/>
          <w:numId w:val="4"/>
        </w:numPr>
        <w:rPr>
          <w:rFonts w:ascii="Arial" w:cs="Arial" w:eastAsia="Arial" w:hAnsi="Arial"/>
          <w:sz w:val="20"/>
          <w:szCs w:val="20"/>
          <w:color w:val="231815"/>
        </w:rPr>
      </w:pPr>
      <w:r>
        <w:rPr>
          <w:rFonts w:ascii="SimSun" w:cs="SimSun" w:eastAsia="SimSun" w:hAnsi="SimSun"/>
          <w:sz w:val="20"/>
          <w:szCs w:val="20"/>
          <w:color w:val="231815"/>
        </w:rPr>
        <w:t>从管理的角度解读现金流量表</w:t>
      </w:r>
    </w:p>
    <w:p>
      <w:pPr>
        <w:spacing w:after="0" w:line="173" w:lineRule="exact"/>
        <w:rPr>
          <w:rFonts w:ascii="Arial" w:cs="Arial" w:eastAsia="Arial" w:hAnsi="Arial"/>
          <w:sz w:val="20"/>
          <w:szCs w:val="20"/>
          <w:color w:val="231815"/>
        </w:rPr>
      </w:pPr>
    </w:p>
    <w:p>
      <w:pPr>
        <w:ind w:left="1260" w:hanging="280"/>
        <w:spacing w:after="0" w:line="230" w:lineRule="exact"/>
        <w:tabs>
          <w:tab w:leader="none" w:pos="1260" w:val="left"/>
        </w:tabs>
        <w:numPr>
          <w:ilvl w:val="2"/>
          <w:numId w:val="4"/>
        </w:numPr>
        <w:rPr>
          <w:rFonts w:ascii="Arial" w:cs="Arial" w:eastAsia="Arial" w:hAnsi="Arial"/>
          <w:sz w:val="20"/>
          <w:szCs w:val="20"/>
          <w:color w:val="595757"/>
        </w:rPr>
      </w:pPr>
      <w:r>
        <w:rPr>
          <w:rFonts w:ascii="SimSun" w:cs="SimSun" w:eastAsia="SimSun" w:hAnsi="SimSun"/>
          <w:sz w:val="18"/>
          <w:szCs w:val="18"/>
          <w:color w:val="595757"/>
        </w:rPr>
        <w:t>企业的钱是怎么花的</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4"/>
        </w:numPr>
        <w:rPr>
          <w:rFonts w:ascii="Arial" w:cs="Arial" w:eastAsia="Arial" w:hAnsi="Arial"/>
          <w:sz w:val="20"/>
          <w:szCs w:val="20"/>
          <w:color w:val="595757"/>
        </w:rPr>
      </w:pPr>
      <w:r>
        <w:rPr>
          <w:rFonts w:ascii="SimSun" w:cs="SimSun" w:eastAsia="SimSun" w:hAnsi="SimSun"/>
          <w:sz w:val="18"/>
          <w:szCs w:val="18"/>
          <w:color w:val="595757"/>
        </w:rPr>
        <w:t>现金流中隐藏着什么风险？</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4"/>
        </w:numPr>
        <w:rPr>
          <w:rFonts w:ascii="Arial" w:cs="Arial" w:eastAsia="Arial" w:hAnsi="Arial"/>
          <w:sz w:val="20"/>
          <w:szCs w:val="20"/>
          <w:color w:val="595757"/>
        </w:rPr>
      </w:pPr>
      <w:r>
        <w:rPr>
          <w:rFonts w:ascii="SimSun" w:cs="SimSun" w:eastAsia="SimSun" w:hAnsi="SimSun"/>
          <w:sz w:val="18"/>
          <w:szCs w:val="18"/>
          <w:color w:val="595757"/>
        </w:rPr>
        <w:t>三家公司现金流情况分析</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620"/>
        <w:spacing w:after="0" w:line="480" w:lineRule="exact"/>
        <w:rPr>
          <w:sz w:val="20"/>
          <w:szCs w:val="20"/>
          <w:color w:val="auto"/>
        </w:rPr>
      </w:pPr>
      <w:r>
        <w:rPr>
          <w:rFonts w:ascii="SimSun" w:cs="SimSun" w:eastAsia="SimSun" w:hAnsi="SimSun"/>
          <w:sz w:val="42"/>
          <w:szCs w:val="42"/>
          <w:color w:val="087887"/>
        </w:rPr>
        <w:t>第三模块</w:t>
      </w:r>
    </w:p>
    <w:p>
      <w:pPr>
        <w:spacing w:after="0" w:line="217" w:lineRule="exact"/>
        <w:rPr>
          <w:sz w:val="20"/>
          <w:szCs w:val="20"/>
          <w:color w:val="auto"/>
        </w:rPr>
      </w:pPr>
    </w:p>
    <w:p>
      <w:pPr>
        <w:ind w:left="620"/>
        <w:spacing w:after="0" w:line="480" w:lineRule="exact"/>
        <w:tabs>
          <w:tab w:leader="none" w:pos="6340" w:val="left"/>
        </w:tabs>
        <w:rPr>
          <w:sz w:val="20"/>
          <w:szCs w:val="20"/>
          <w:color w:val="auto"/>
        </w:rPr>
      </w:pPr>
      <w:r>
        <w:rPr>
          <w:rFonts w:ascii="SimSun" w:cs="SimSun" w:eastAsia="SimSun" w:hAnsi="SimSun"/>
          <w:sz w:val="42"/>
          <w:szCs w:val="42"/>
          <w:color w:val="087887"/>
        </w:rPr>
        <w:t>企业资金效率的分析及改善</w:t>
      </w:r>
      <w:r>
        <w:rPr>
          <w:sz w:val="20"/>
          <w:szCs w:val="20"/>
          <w:color w:val="auto"/>
        </w:rPr>
        <w:tab/>
      </w:r>
      <w:r>
        <w:rPr>
          <w:rFonts w:ascii="SimSun" w:cs="SimSun" w:eastAsia="SimSun" w:hAnsi="SimSun"/>
          <w:sz w:val="41"/>
          <w:szCs w:val="41"/>
          <w:color w:val="087887"/>
        </w:rPr>
        <w:t>营运资本</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900" w:hanging="289"/>
        <w:spacing w:after="0" w:line="243" w:lineRule="exact"/>
        <w:tabs>
          <w:tab w:leader="none" w:pos="900" w:val="left"/>
        </w:tabs>
        <w:numPr>
          <w:ilvl w:val="0"/>
          <w:numId w:val="5"/>
        </w:numPr>
        <w:rPr>
          <w:rFonts w:ascii="Arial" w:cs="Arial" w:eastAsia="Arial" w:hAnsi="Arial"/>
          <w:sz w:val="20"/>
          <w:szCs w:val="20"/>
          <w:color w:val="231815"/>
        </w:rPr>
      </w:pPr>
      <w:r>
        <w:rPr>
          <w:rFonts w:ascii="SimSun" w:cs="SimSun" w:eastAsia="SimSun" w:hAnsi="SimSun"/>
          <w:sz w:val="20"/>
          <w:szCs w:val="20"/>
          <w:color w:val="231815"/>
        </w:rPr>
        <w:t>公司财务运作的核心思路：影响企业绩效的三大环节</w:t>
      </w:r>
    </w:p>
    <w:p>
      <w:pPr>
        <w:spacing w:after="0" w:line="137" w:lineRule="exact"/>
        <w:rPr>
          <w:rFonts w:ascii="Arial" w:cs="Arial" w:eastAsia="Arial" w:hAnsi="Arial"/>
          <w:sz w:val="20"/>
          <w:szCs w:val="20"/>
          <w:color w:val="231815"/>
        </w:rPr>
      </w:pPr>
    </w:p>
    <w:p>
      <w:pPr>
        <w:ind w:left="900" w:hanging="289"/>
        <w:spacing w:after="0" w:line="243" w:lineRule="exact"/>
        <w:tabs>
          <w:tab w:leader="none" w:pos="900" w:val="left"/>
        </w:tabs>
        <w:numPr>
          <w:ilvl w:val="0"/>
          <w:numId w:val="5"/>
        </w:numPr>
        <w:rPr>
          <w:rFonts w:ascii="Arial" w:cs="Arial" w:eastAsia="Arial" w:hAnsi="Arial"/>
          <w:sz w:val="20"/>
          <w:szCs w:val="20"/>
          <w:color w:val="231815"/>
        </w:rPr>
      </w:pPr>
      <w:r>
        <w:rPr>
          <w:rFonts w:ascii="SimSun" w:cs="SimSun" w:eastAsia="SimSun" w:hAnsi="SimSun"/>
          <w:sz w:val="20"/>
          <w:szCs w:val="20"/>
          <w:color w:val="231815"/>
        </w:rPr>
        <w:t>资金效率、风险的分析与控制   营运资本分析</w:t>
      </w:r>
    </w:p>
    <w:p>
      <w:pPr>
        <w:spacing w:after="0" w:line="173" w:lineRule="exact"/>
        <w:rPr>
          <w:rFonts w:ascii="Arial" w:cs="Arial" w:eastAsia="Arial" w:hAnsi="Arial"/>
          <w:sz w:val="20"/>
          <w:szCs w:val="20"/>
          <w:color w:val="231815"/>
        </w:rPr>
      </w:pPr>
    </w:p>
    <w:p>
      <w:pPr>
        <w:ind w:left="1220" w:hanging="265"/>
        <w:spacing w:after="0" w:line="230" w:lineRule="exact"/>
        <w:tabs>
          <w:tab w:leader="none" w:pos="1220" w:val="left"/>
        </w:tabs>
        <w:numPr>
          <w:ilvl w:val="1"/>
          <w:numId w:val="5"/>
        </w:numPr>
        <w:rPr>
          <w:rFonts w:ascii="Arial" w:cs="Arial" w:eastAsia="Arial" w:hAnsi="Arial"/>
          <w:sz w:val="20"/>
          <w:szCs w:val="20"/>
          <w:color w:val="595757"/>
        </w:rPr>
      </w:pPr>
      <w:r>
        <w:rPr>
          <w:rFonts w:ascii="SimSun" w:cs="SimSun" w:eastAsia="SimSun" w:hAnsi="SimSun"/>
          <w:sz w:val="18"/>
          <w:szCs w:val="18"/>
          <w:color w:val="595757"/>
        </w:rPr>
        <w:t>国际先进的营运资本模式</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5"/>
        </w:numPr>
        <w:rPr>
          <w:rFonts w:ascii="Arial" w:cs="Arial" w:eastAsia="Arial" w:hAnsi="Arial"/>
          <w:sz w:val="20"/>
          <w:szCs w:val="20"/>
          <w:color w:val="595757"/>
        </w:rPr>
      </w:pPr>
      <w:r>
        <w:rPr>
          <w:rFonts w:ascii="SimSun" w:cs="SimSun" w:eastAsia="SimSun" w:hAnsi="SimSun"/>
          <w:sz w:val="18"/>
          <w:szCs w:val="18"/>
          <w:color w:val="595757"/>
        </w:rPr>
        <w:t>如何运用报表上的数字分析企业营运资本状况</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5"/>
        </w:numPr>
        <w:rPr>
          <w:rFonts w:ascii="Arial" w:cs="Arial" w:eastAsia="Arial" w:hAnsi="Arial"/>
          <w:sz w:val="20"/>
          <w:szCs w:val="20"/>
          <w:color w:val="595757"/>
        </w:rPr>
      </w:pPr>
      <w:r>
        <w:rPr>
          <w:rFonts w:ascii="SimSun" w:cs="SimSun" w:eastAsia="SimSun" w:hAnsi="SimSun"/>
          <w:sz w:val="18"/>
          <w:szCs w:val="18"/>
          <w:color w:val="595757"/>
        </w:rPr>
        <w:t>各部门的工作对公司营运资本的影响，如何改善</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5"/>
        </w:numPr>
        <w:rPr>
          <w:rFonts w:ascii="Arial" w:cs="Arial" w:eastAsia="Arial" w:hAnsi="Arial"/>
          <w:sz w:val="20"/>
          <w:szCs w:val="20"/>
          <w:color w:val="087887"/>
        </w:rPr>
      </w:pPr>
      <w:r>
        <w:rPr>
          <w:rFonts w:ascii="SimSun" w:cs="SimSun" w:eastAsia="SimSun" w:hAnsi="SimSun"/>
          <w:sz w:val="18"/>
          <w:szCs w:val="18"/>
          <w:color w:val="087887"/>
        </w:rPr>
        <w:t>案例分析：透过数字看经营：某企业近几年真实财务状况分析</w:t>
      </w:r>
    </w:p>
    <w:p>
      <w:pPr>
        <w:spacing w:after="0" w:line="113" w:lineRule="exact"/>
        <w:rPr>
          <w:rFonts w:ascii="Arial" w:cs="Arial" w:eastAsia="Arial" w:hAnsi="Arial"/>
          <w:sz w:val="20"/>
          <w:szCs w:val="20"/>
          <w:color w:val="087887"/>
        </w:rPr>
      </w:pPr>
    </w:p>
    <w:p>
      <w:pPr>
        <w:ind w:left="900" w:hanging="289"/>
        <w:spacing w:after="0" w:line="243" w:lineRule="exact"/>
        <w:tabs>
          <w:tab w:leader="none" w:pos="900" w:val="left"/>
        </w:tabs>
        <w:numPr>
          <w:ilvl w:val="0"/>
          <w:numId w:val="5"/>
        </w:numPr>
        <w:rPr>
          <w:rFonts w:ascii="Arial" w:cs="Arial" w:eastAsia="Arial" w:hAnsi="Arial"/>
          <w:sz w:val="20"/>
          <w:szCs w:val="20"/>
          <w:color w:val="231815"/>
        </w:rPr>
      </w:pPr>
      <w:r>
        <w:rPr>
          <w:rFonts w:ascii="SimSun" w:cs="SimSun" w:eastAsia="SimSun" w:hAnsi="SimSun"/>
          <w:sz w:val="20"/>
          <w:szCs w:val="20"/>
          <w:color w:val="231815"/>
        </w:rPr>
        <w:t>企业资金危机分析</w:t>
      </w:r>
    </w:p>
    <w:p>
      <w:pPr>
        <w:spacing w:after="0" w:line="173" w:lineRule="exact"/>
        <w:rPr>
          <w:rFonts w:ascii="Arial" w:cs="Arial" w:eastAsia="Arial" w:hAnsi="Arial"/>
          <w:sz w:val="20"/>
          <w:szCs w:val="20"/>
          <w:color w:val="231815"/>
        </w:rPr>
      </w:pPr>
    </w:p>
    <w:p>
      <w:pPr>
        <w:ind w:left="1240" w:hanging="280"/>
        <w:spacing w:after="0" w:line="230" w:lineRule="exact"/>
        <w:tabs>
          <w:tab w:leader="none" w:pos="1240" w:val="left"/>
        </w:tabs>
        <w:numPr>
          <w:ilvl w:val="1"/>
          <w:numId w:val="5"/>
        </w:numPr>
        <w:rPr>
          <w:rFonts w:ascii="Arial" w:cs="Arial" w:eastAsia="Arial" w:hAnsi="Arial"/>
          <w:sz w:val="20"/>
          <w:szCs w:val="20"/>
          <w:color w:val="595757"/>
        </w:rPr>
      </w:pPr>
      <w:r>
        <w:rPr>
          <w:rFonts w:ascii="SimSun" w:cs="SimSun" w:eastAsia="SimSun" w:hAnsi="SimSun"/>
          <w:sz w:val="18"/>
          <w:szCs w:val="18"/>
          <w:color w:val="595757"/>
        </w:rPr>
        <w:t>五种企业常见的资金危机类型分析</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5"/>
        </w:numPr>
        <w:rPr>
          <w:rFonts w:ascii="Arial" w:cs="Arial" w:eastAsia="Arial" w:hAnsi="Arial"/>
          <w:sz w:val="20"/>
          <w:szCs w:val="20"/>
          <w:color w:val="595757"/>
        </w:rPr>
      </w:pPr>
      <w:r>
        <w:rPr>
          <w:rFonts w:ascii="SimSun" w:cs="SimSun" w:eastAsia="SimSun" w:hAnsi="SimSun"/>
          <w:sz w:val="18"/>
          <w:szCs w:val="18"/>
          <w:color w:val="595757"/>
        </w:rPr>
        <w:t>如何避免企业发生资金的危机</w:t>
      </w:r>
    </w:p>
    <w:p>
      <w:pPr>
        <w:spacing w:after="0" w:line="150" w:lineRule="exact"/>
        <w:rPr>
          <w:rFonts w:ascii="Arial" w:cs="Arial" w:eastAsia="Arial" w:hAnsi="Arial"/>
          <w:sz w:val="20"/>
          <w:szCs w:val="20"/>
          <w:color w:val="595757"/>
        </w:rPr>
      </w:pPr>
    </w:p>
    <w:p>
      <w:pPr>
        <w:ind w:left="1240" w:hanging="280"/>
        <w:spacing w:after="0" w:line="230" w:lineRule="exact"/>
        <w:tabs>
          <w:tab w:leader="none" w:pos="1240" w:val="left"/>
        </w:tabs>
        <w:numPr>
          <w:ilvl w:val="1"/>
          <w:numId w:val="5"/>
        </w:numPr>
        <w:rPr>
          <w:rFonts w:ascii="Arial" w:cs="Arial" w:eastAsia="Arial" w:hAnsi="Arial"/>
          <w:sz w:val="20"/>
          <w:szCs w:val="20"/>
          <w:color w:val="595757"/>
        </w:rPr>
      </w:pPr>
      <w:r>
        <w:rPr>
          <w:rFonts w:ascii="SimSun" w:cs="SimSun" w:eastAsia="SimSun" w:hAnsi="SimSun"/>
          <w:sz w:val="18"/>
          <w:szCs w:val="18"/>
          <w:color w:val="595757"/>
        </w:rPr>
        <w:t>如何应对企业的资金危机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92710</wp:posOffset>
                </wp:positionH>
                <wp:positionV relativeFrom="paragraph">
                  <wp:posOffset>1436370</wp:posOffset>
                </wp:positionV>
                <wp:extent cx="662495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24955" cy="4763"/>
                        </a:xfrm>
                        <a:prstGeom prst="line">
                          <a:avLst/>
                        </a:prstGeom>
                        <a:solidFill>
                          <a:srgbClr val="FFFFFF"/>
                        </a:solidFill>
                        <a:ln w="6350">
                          <a:solidFill>
                            <a:srgbClr val="087887"/>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pt,113.1pt" to="528.95pt,113.1pt" o:allowincell="f" strokecolor="#087887" strokeweight="0.5pt"/>
            </w:pict>
          </mc:Fallback>
        </mc:AlternateContent>
      </w:r>
    </w:p>
    <w:p>
      <w:pPr>
        <w:sectPr>
          <w:pgSz w:w="11900" w:h="16838" w:orient="portrait"/>
          <w:cols w:equalWidth="0" w:num="1">
            <w:col w:w="10580"/>
          </w:cols>
          <w:pgMar w:left="440" w:top="960" w:right="8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spacing w:after="0" w:line="267" w:lineRule="exact"/>
        <w:tabs>
          <w:tab w:leader="none" w:pos="5280" w:val="left"/>
          <w:tab w:leader="none" w:pos="8700" w:val="left"/>
        </w:tabs>
        <w:rPr>
          <w:sz w:val="20"/>
          <w:szCs w:val="20"/>
          <w:color w:val="auto"/>
        </w:rPr>
      </w:pPr>
      <w:r>
        <w:rPr>
          <w:rFonts w:ascii="SimSun" w:cs="SimSun" w:eastAsia="SimSun" w:hAnsi="SimSun"/>
          <w:sz w:val="22"/>
          <w:szCs w:val="22"/>
          <w:color w:val="323333"/>
        </w:rPr>
        <w:t>《</w:t>
      </w:r>
      <w:r>
        <w:rPr>
          <w:rFonts w:ascii="SimSun" w:cs="SimSun" w:eastAsia="SimSun" w:hAnsi="SimSun"/>
          <w:sz w:val="20"/>
          <w:szCs w:val="20"/>
          <w:color w:val="323333"/>
        </w:rPr>
        <w:t>非财务经理的财务课程</w:t>
      </w:r>
      <w:r>
        <w:rPr>
          <w:rFonts w:ascii="Arial" w:cs="Arial" w:eastAsia="Arial" w:hAnsi="Arial"/>
          <w:sz w:val="20"/>
          <w:szCs w:val="20"/>
          <w:color w:val="323333"/>
        </w:rPr>
        <w:t>(</w:t>
      </w:r>
      <w:r>
        <w:rPr>
          <w:rFonts w:ascii="SimSun" w:cs="SimSun" w:eastAsia="SimSun" w:hAnsi="SimSun"/>
          <w:sz w:val="20"/>
          <w:szCs w:val="20"/>
          <w:color w:val="323333"/>
        </w:rPr>
        <w:t>精要版</w:t>
      </w:r>
      <w:r>
        <w:rPr>
          <w:rFonts w:ascii="Arial" w:cs="Arial" w:eastAsia="Arial" w:hAnsi="Arial"/>
          <w:sz w:val="20"/>
          <w:szCs w:val="20"/>
          <w:color w:val="323333"/>
        </w:rPr>
        <w:t>)</w:t>
      </w:r>
      <w:r>
        <w:rPr>
          <w:rFonts w:ascii="SimSun" w:cs="SimSun" w:eastAsia="SimSun" w:hAnsi="SimSun"/>
          <w:sz w:val="22"/>
          <w:szCs w:val="22"/>
          <w:color w:val="323333"/>
        </w:rPr>
        <w:t>》</w:t>
      </w:r>
      <w:r>
        <w:rPr>
          <w:sz w:val="20"/>
          <w:szCs w:val="20"/>
          <w:color w:val="auto"/>
        </w:rPr>
        <w:tab/>
      </w:r>
      <w:r>
        <w:rPr>
          <w:rFonts w:ascii="Arial" w:cs="Arial" w:eastAsia="Arial" w:hAnsi="Arial"/>
          <w:sz w:val="20"/>
          <w:szCs w:val="20"/>
          <w:color w:val="231815"/>
        </w:rPr>
        <w:t>04</w:t>
      </w:r>
      <w:r>
        <w:rPr>
          <w:sz w:val="20"/>
          <w:szCs w:val="20"/>
          <w:color w:val="auto"/>
        </w:rPr>
        <w:tab/>
      </w:r>
      <w:r>
        <w:rPr>
          <w:rFonts w:ascii="SimSun" w:cs="SimSun" w:eastAsia="SimSun" w:hAnsi="SimSun"/>
          <w:sz w:val="21"/>
          <w:szCs w:val="21"/>
          <w:color w:val="323333"/>
        </w:rPr>
        <w:t>选择安越 因为专业</w:t>
      </w:r>
    </w:p>
    <w:p>
      <w:pPr>
        <w:sectPr>
          <w:pgSz w:w="11900" w:h="16838" w:orient="portrait"/>
          <w:cols w:equalWidth="0" w:num="1">
            <w:col w:w="10580"/>
          </w:cols>
          <w:pgMar w:left="440" w:top="960" w:right="886" w:bottom="0" w:gutter="0" w:footer="0" w:header="0"/>
          <w:type w:val="continuous"/>
        </w:sectPr>
      </w:pPr>
    </w:p>
    <w:bookmarkStart w:id="5" w:name="page6"/>
    <w:bookmarkEnd w:id="5"/>
    <w:p>
      <w:pPr>
        <w:ind w:left="600"/>
        <w:spacing w:after="0"/>
        <w:tabs>
          <w:tab w:leader="none" w:pos="1824" w:val="left"/>
        </w:tabs>
        <w:rPr>
          <w:sz w:val="20"/>
          <w:szCs w:val="20"/>
          <w:color w:val="auto"/>
        </w:rPr>
      </w:pPr>
      <w:r>
        <w:rPr>
          <w:rFonts w:ascii="SimSun" w:cs="SimSun" w:eastAsia="SimSun" w:hAnsi="SimSun"/>
          <w:sz w:val="18"/>
          <w:szCs w:val="18"/>
          <w:color w:val="FFFFFF"/>
        </w:rPr>
        <w:drawing>
          <wp:anchor simplePos="0" relativeHeight="251657728" behindDoc="1" locked="0" layoutInCell="0" allowOverlap="1">
            <wp:simplePos x="0" y="0"/>
            <wp:positionH relativeFrom="page">
              <wp:posOffset>340995</wp:posOffset>
            </wp:positionH>
            <wp:positionV relativeFrom="page">
              <wp:posOffset>588010</wp:posOffset>
            </wp:positionV>
            <wp:extent cx="6795135" cy="8776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extLst>
                    </a:blip>
                    <a:srcRect/>
                    <a:stretch>
                      <a:fillRect/>
                    </a:stretch>
                  </pic:blipFill>
                  <pic:spPr bwMode="auto">
                    <a:xfrm>
                      <a:off x="0" y="0"/>
                      <a:ext cx="6795135" cy="8776970"/>
                    </a:xfrm>
                    <a:prstGeom prst="rect">
                      <a:avLst/>
                    </a:prstGeom>
                    <a:noFill/>
                  </pic:spPr>
                </pic:pic>
              </a:graphicData>
            </a:graphic>
          </wp:anchor>
        </w:drawing>
        <w:t>课程内容</w:t>
      </w:r>
      <w:r>
        <w:rPr>
          <w:sz w:val="20"/>
          <w:szCs w:val="20"/>
          <w:color w:val="auto"/>
        </w:rPr>
        <w:tab/>
      </w:r>
      <w:r>
        <w:rPr>
          <w:sz w:val="1"/>
          <w:szCs w:val="1"/>
          <w:color w:val="auto"/>
        </w:rPr>
        <w:drawing>
          <wp:inline distT="0" distB="0" distL="0" distR="0">
            <wp:extent cx="101600" cy="140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extLst>
                    </a:blip>
                    <a:srcRect/>
                    <a:stretch>
                      <a:fillRect/>
                    </a:stretch>
                  </pic:blipFill>
                  <pic:spPr bwMode="auto">
                    <a:xfrm>
                      <a:off x="0" y="0"/>
                      <a:ext cx="101600" cy="140335"/>
                    </a:xfrm>
                    <a:prstGeom prst="rect">
                      <a:avLst/>
                    </a:prstGeom>
                    <a:noFill/>
                    <a:ln>
                      <a:noFill/>
                    </a:ln>
                  </pic:spPr>
                </pic:pic>
              </a:graphicData>
            </a:graphic>
          </wp:inline>
        </w:drawing>
      </w:r>
      <w:r>
        <w:rPr>
          <w:rFonts w:ascii="Arial" w:cs="Arial" w:eastAsia="Arial" w:hAnsi="Arial"/>
          <w:sz w:val="11"/>
          <w:szCs w:val="11"/>
          <w:color w:val="FFFFFF"/>
        </w:rPr>
        <w:t xml:space="preserve"> COURSE CONTENT</w:t>
      </w:r>
    </w:p>
    <w:p>
      <w:pPr>
        <w:sectPr>
          <w:pgSz w:w="11900" w:h="16838" w:orient="portrait"/>
          <w:cols w:equalWidth="0" w:num="1">
            <w:col w:w="10780"/>
          </w:cols>
          <w:pgMar w:left="440" w:top="1023" w:right="6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880" w:hanging="283"/>
        <w:spacing w:after="0" w:line="243" w:lineRule="exact"/>
        <w:tabs>
          <w:tab w:leader="none" w:pos="880" w:val="left"/>
        </w:tabs>
        <w:numPr>
          <w:ilvl w:val="0"/>
          <w:numId w:val="6"/>
        </w:numPr>
        <w:rPr>
          <w:rFonts w:ascii="Arial" w:cs="Arial" w:eastAsia="Arial" w:hAnsi="Arial"/>
          <w:sz w:val="20"/>
          <w:szCs w:val="20"/>
          <w:color w:val="231815"/>
        </w:rPr>
      </w:pPr>
      <w:r>
        <w:rPr>
          <w:rFonts w:ascii="SimSun" w:cs="SimSun" w:eastAsia="SimSun" w:hAnsi="SimSun"/>
          <w:sz w:val="20"/>
          <w:szCs w:val="20"/>
          <w:color w:val="231815"/>
        </w:rPr>
        <w:t>企业改善营运资本状况的基本方法</w:t>
      </w:r>
    </w:p>
    <w:p>
      <w:pPr>
        <w:spacing w:after="0" w:line="173" w:lineRule="exact"/>
        <w:rPr>
          <w:rFonts w:ascii="Arial" w:cs="Arial" w:eastAsia="Arial" w:hAnsi="Arial"/>
          <w:sz w:val="20"/>
          <w:szCs w:val="20"/>
          <w:color w:val="231815"/>
        </w:rPr>
      </w:pPr>
    </w:p>
    <w:p>
      <w:pPr>
        <w:ind w:left="1220" w:hanging="274"/>
        <w:spacing w:after="0" w:line="230" w:lineRule="exact"/>
        <w:tabs>
          <w:tab w:leader="none" w:pos="1220" w:val="left"/>
        </w:tabs>
        <w:numPr>
          <w:ilvl w:val="1"/>
          <w:numId w:val="6"/>
        </w:numPr>
        <w:rPr>
          <w:rFonts w:ascii="Arial" w:cs="Arial" w:eastAsia="Arial" w:hAnsi="Arial"/>
          <w:sz w:val="20"/>
          <w:szCs w:val="20"/>
          <w:color w:val="595757"/>
        </w:rPr>
      </w:pPr>
      <w:r>
        <w:rPr>
          <w:rFonts w:ascii="SimSun" w:cs="SimSun" w:eastAsia="SimSun" w:hAnsi="SimSun"/>
          <w:sz w:val="18"/>
          <w:szCs w:val="18"/>
          <w:color w:val="595757"/>
        </w:rPr>
        <w:t>一些特殊行业的营运资本优势分析</w:t>
      </w:r>
    </w:p>
    <w:p>
      <w:pPr>
        <w:spacing w:after="0" w:line="150" w:lineRule="exact"/>
        <w:rPr>
          <w:rFonts w:ascii="Arial" w:cs="Arial" w:eastAsia="Arial" w:hAnsi="Arial"/>
          <w:sz w:val="20"/>
          <w:szCs w:val="20"/>
          <w:color w:val="595757"/>
        </w:rPr>
      </w:pPr>
    </w:p>
    <w:p>
      <w:pPr>
        <w:ind w:left="1220" w:hanging="274"/>
        <w:spacing w:after="0" w:line="230" w:lineRule="exact"/>
        <w:tabs>
          <w:tab w:leader="none" w:pos="1220" w:val="left"/>
        </w:tabs>
        <w:numPr>
          <w:ilvl w:val="1"/>
          <w:numId w:val="6"/>
        </w:numPr>
        <w:rPr>
          <w:rFonts w:ascii="Arial" w:cs="Arial" w:eastAsia="Arial" w:hAnsi="Arial"/>
          <w:sz w:val="20"/>
          <w:szCs w:val="20"/>
          <w:color w:val="595757"/>
        </w:rPr>
      </w:pPr>
      <w:r>
        <w:rPr>
          <w:rFonts w:ascii="SimSun" w:cs="SimSun" w:eastAsia="SimSun" w:hAnsi="SimSun"/>
          <w:sz w:val="18"/>
          <w:szCs w:val="18"/>
          <w:color w:val="595757"/>
        </w:rPr>
        <w:t>对本企业营运资本运作的启发</w:t>
      </w:r>
    </w:p>
    <w:p>
      <w:pPr>
        <w:spacing w:after="0" w:line="150" w:lineRule="exact"/>
        <w:rPr>
          <w:rFonts w:ascii="Arial" w:cs="Arial" w:eastAsia="Arial" w:hAnsi="Arial"/>
          <w:sz w:val="20"/>
          <w:szCs w:val="20"/>
          <w:color w:val="595757"/>
        </w:rPr>
      </w:pPr>
    </w:p>
    <w:p>
      <w:pPr>
        <w:ind w:left="1220" w:hanging="274"/>
        <w:spacing w:after="0" w:line="230" w:lineRule="exact"/>
        <w:tabs>
          <w:tab w:leader="none" w:pos="1220" w:val="left"/>
        </w:tabs>
        <w:numPr>
          <w:ilvl w:val="1"/>
          <w:numId w:val="6"/>
        </w:numPr>
        <w:rPr>
          <w:rFonts w:ascii="Arial" w:cs="Arial" w:eastAsia="Arial" w:hAnsi="Arial"/>
          <w:sz w:val="20"/>
          <w:szCs w:val="20"/>
          <w:color w:val="595757"/>
        </w:rPr>
      </w:pPr>
      <w:r>
        <w:rPr>
          <w:rFonts w:ascii="SimSun" w:cs="SimSun" w:eastAsia="SimSun" w:hAnsi="SimSun"/>
          <w:sz w:val="18"/>
          <w:szCs w:val="18"/>
          <w:color w:val="595757"/>
        </w:rPr>
        <w:t>改善公司营运资本状况的基本方法</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600"/>
        <w:spacing w:after="0" w:line="480" w:lineRule="exact"/>
        <w:rPr>
          <w:sz w:val="20"/>
          <w:szCs w:val="20"/>
          <w:color w:val="auto"/>
        </w:rPr>
      </w:pPr>
      <w:r>
        <w:rPr>
          <w:rFonts w:ascii="SimSun" w:cs="SimSun" w:eastAsia="SimSun" w:hAnsi="SimSun"/>
          <w:sz w:val="42"/>
          <w:szCs w:val="42"/>
          <w:color w:val="087887"/>
        </w:rPr>
        <w:t>第四模块</w:t>
      </w:r>
    </w:p>
    <w:p>
      <w:pPr>
        <w:spacing w:after="0" w:line="231" w:lineRule="exact"/>
        <w:rPr>
          <w:sz w:val="20"/>
          <w:szCs w:val="20"/>
          <w:color w:val="auto"/>
        </w:rPr>
      </w:pPr>
    </w:p>
    <w:p>
      <w:pPr>
        <w:ind w:left="600"/>
        <w:spacing w:after="0" w:line="468" w:lineRule="exact"/>
        <w:rPr>
          <w:sz w:val="20"/>
          <w:szCs w:val="20"/>
          <w:color w:val="auto"/>
        </w:rPr>
      </w:pPr>
      <w:r>
        <w:rPr>
          <w:rFonts w:ascii="SimSun" w:cs="SimSun" w:eastAsia="SimSun" w:hAnsi="SimSun"/>
          <w:sz w:val="41"/>
          <w:szCs w:val="41"/>
          <w:color w:val="087887"/>
        </w:rPr>
        <w:t>通过财务比率的分析有效提升企业综合业绩</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880" w:hanging="283"/>
        <w:spacing w:after="0" w:line="243" w:lineRule="exact"/>
        <w:tabs>
          <w:tab w:leader="none" w:pos="880" w:val="left"/>
        </w:tabs>
        <w:numPr>
          <w:ilvl w:val="0"/>
          <w:numId w:val="7"/>
        </w:numPr>
        <w:rPr>
          <w:rFonts w:ascii="Arial" w:cs="Arial" w:eastAsia="Arial" w:hAnsi="Arial"/>
          <w:sz w:val="20"/>
          <w:szCs w:val="20"/>
          <w:color w:val="087887"/>
        </w:rPr>
      </w:pPr>
      <w:r>
        <w:rPr>
          <w:rFonts w:ascii="SimSun" w:cs="SimSun" w:eastAsia="SimSun" w:hAnsi="SimSun"/>
          <w:sz w:val="20"/>
          <w:szCs w:val="20"/>
          <w:color w:val="087887"/>
        </w:rPr>
        <w:t>综合分析：怎样产生理想的投资回报</w:t>
      </w:r>
    </w:p>
    <w:p>
      <w:pPr>
        <w:spacing w:after="0" w:line="137" w:lineRule="exact"/>
        <w:rPr>
          <w:rFonts w:ascii="Arial" w:cs="Arial" w:eastAsia="Arial" w:hAnsi="Arial"/>
          <w:sz w:val="20"/>
          <w:szCs w:val="20"/>
          <w:color w:val="087887"/>
        </w:rPr>
      </w:pPr>
    </w:p>
    <w:p>
      <w:pPr>
        <w:ind w:left="880" w:hanging="283"/>
        <w:spacing w:after="0" w:line="243" w:lineRule="exact"/>
        <w:tabs>
          <w:tab w:leader="none" w:pos="880" w:val="left"/>
        </w:tabs>
        <w:numPr>
          <w:ilvl w:val="0"/>
          <w:numId w:val="7"/>
        </w:numPr>
        <w:rPr>
          <w:rFonts w:ascii="Arial" w:cs="Arial" w:eastAsia="Arial" w:hAnsi="Arial"/>
          <w:sz w:val="20"/>
          <w:szCs w:val="20"/>
          <w:color w:val="231815"/>
        </w:rPr>
      </w:pPr>
      <w:r>
        <w:rPr>
          <w:rFonts w:ascii="SimSun" w:cs="SimSun" w:eastAsia="SimSun" w:hAnsi="SimSun"/>
          <w:sz w:val="20"/>
          <w:szCs w:val="20"/>
          <w:color w:val="231815"/>
        </w:rPr>
        <w:t>财务比率分析及应用</w:t>
      </w:r>
    </w:p>
    <w:p>
      <w:pPr>
        <w:spacing w:after="0" w:line="173" w:lineRule="exact"/>
        <w:rPr>
          <w:rFonts w:ascii="Arial" w:cs="Arial" w:eastAsia="Arial" w:hAnsi="Arial"/>
          <w:sz w:val="20"/>
          <w:szCs w:val="20"/>
          <w:color w:val="231815"/>
        </w:rPr>
      </w:pPr>
    </w:p>
    <w:p>
      <w:pPr>
        <w:ind w:left="1220" w:hanging="274"/>
        <w:spacing w:after="0" w:line="230" w:lineRule="exact"/>
        <w:tabs>
          <w:tab w:leader="none" w:pos="1220" w:val="left"/>
        </w:tabs>
        <w:numPr>
          <w:ilvl w:val="1"/>
          <w:numId w:val="7"/>
        </w:numPr>
        <w:rPr>
          <w:rFonts w:ascii="Arial" w:cs="Arial" w:eastAsia="Arial" w:hAnsi="Arial"/>
          <w:sz w:val="20"/>
          <w:szCs w:val="20"/>
          <w:color w:val="595757"/>
        </w:rPr>
      </w:pPr>
      <w:r>
        <w:rPr>
          <w:rFonts w:ascii="SimSun" w:cs="SimSun" w:eastAsia="SimSun" w:hAnsi="SimSun"/>
          <w:sz w:val="18"/>
          <w:szCs w:val="18"/>
          <w:color w:val="595757"/>
        </w:rPr>
        <w:t>关键财务指标解析</w:t>
      </w:r>
    </w:p>
    <w:p>
      <w:pPr>
        <w:spacing w:after="0" w:line="150" w:lineRule="exact"/>
        <w:rPr>
          <w:rFonts w:ascii="Arial" w:cs="Arial" w:eastAsia="Arial" w:hAnsi="Arial"/>
          <w:sz w:val="20"/>
          <w:szCs w:val="20"/>
          <w:color w:val="595757"/>
        </w:rPr>
      </w:pPr>
    </w:p>
    <w:p>
      <w:pPr>
        <w:ind w:left="1220"/>
        <w:spacing w:after="0" w:line="206" w:lineRule="exact"/>
        <w:rPr>
          <w:rFonts w:ascii="Arial" w:cs="Arial" w:eastAsia="Arial" w:hAnsi="Arial"/>
          <w:sz w:val="20"/>
          <w:szCs w:val="20"/>
          <w:color w:val="595757"/>
        </w:rPr>
      </w:pPr>
      <w:r>
        <w:rPr>
          <w:rFonts w:ascii="Arial" w:cs="Arial" w:eastAsia="Arial" w:hAnsi="Arial"/>
          <w:sz w:val="1"/>
          <w:szCs w:val="1"/>
          <w:color w:val="595757"/>
        </w:rPr>
        <w:drawing>
          <wp:inline distT="0" distB="0" distL="0" distR="0">
            <wp:extent cx="62230" cy="62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extLst>
                    </a:blip>
                    <a:srcRect/>
                    <a:stretch>
                      <a:fillRect/>
                    </a:stretch>
                  </pic:blipFill>
                  <pic:spPr bwMode="auto">
                    <a:xfrm>
                      <a:off x="0" y="0"/>
                      <a:ext cx="62230" cy="62230"/>
                    </a:xfrm>
                    <a:prstGeom prst="rect">
                      <a:avLst/>
                    </a:prstGeom>
                    <a:noFill/>
                    <a:ln>
                      <a:noFill/>
                    </a:ln>
                  </pic:spPr>
                </pic:pic>
              </a:graphicData>
            </a:graphic>
          </wp:inline>
        </w:drawing>
      </w:r>
      <w:r>
        <w:rPr>
          <w:rFonts w:ascii="SimSun" w:cs="SimSun" w:eastAsia="SimSun" w:hAnsi="SimSun"/>
          <w:sz w:val="18"/>
          <w:szCs w:val="18"/>
          <w:color w:val="595757"/>
        </w:rPr>
        <w:t xml:space="preserve">  如何衡量短期偿债能力：流动比率、速动比率</w:t>
      </w:r>
    </w:p>
    <w:p>
      <w:pPr>
        <w:spacing w:after="0" w:line="174" w:lineRule="exact"/>
        <w:rPr>
          <w:rFonts w:ascii="Arial" w:cs="Arial" w:eastAsia="Arial" w:hAnsi="Arial"/>
          <w:sz w:val="20"/>
          <w:szCs w:val="20"/>
          <w:color w:val="595757"/>
        </w:rPr>
      </w:pPr>
    </w:p>
    <w:p>
      <w:pPr>
        <w:ind w:left="1220"/>
        <w:spacing w:after="0" w:line="206" w:lineRule="exact"/>
        <w:rPr>
          <w:rFonts w:ascii="Arial" w:cs="Arial" w:eastAsia="Arial" w:hAnsi="Arial"/>
          <w:sz w:val="20"/>
          <w:szCs w:val="20"/>
          <w:color w:val="595757"/>
        </w:rPr>
      </w:pPr>
      <w:r>
        <w:rPr>
          <w:rFonts w:ascii="Arial" w:cs="Arial" w:eastAsia="Arial" w:hAnsi="Arial"/>
          <w:sz w:val="1"/>
          <w:szCs w:val="1"/>
          <w:color w:val="595757"/>
        </w:rPr>
        <w:drawing>
          <wp:inline distT="0" distB="0" distL="0" distR="0">
            <wp:extent cx="62230" cy="62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extLst>
                    </a:blip>
                    <a:srcRect/>
                    <a:stretch>
                      <a:fillRect/>
                    </a:stretch>
                  </pic:blipFill>
                  <pic:spPr bwMode="auto">
                    <a:xfrm>
                      <a:off x="0" y="0"/>
                      <a:ext cx="62230" cy="62230"/>
                    </a:xfrm>
                    <a:prstGeom prst="rect">
                      <a:avLst/>
                    </a:prstGeom>
                    <a:noFill/>
                    <a:ln>
                      <a:noFill/>
                    </a:ln>
                  </pic:spPr>
                </pic:pic>
              </a:graphicData>
            </a:graphic>
          </wp:inline>
        </w:drawing>
      </w:r>
      <w:r>
        <w:rPr>
          <w:rFonts w:ascii="SimSun" w:cs="SimSun" w:eastAsia="SimSun" w:hAnsi="SimSun"/>
          <w:sz w:val="18"/>
          <w:szCs w:val="18"/>
          <w:color w:val="595757"/>
        </w:rPr>
        <w:t xml:space="preserve">  如何提升资源效率：应收账款周转率、存货周转率、资产周转率</w:t>
      </w:r>
    </w:p>
    <w:p>
      <w:pPr>
        <w:spacing w:after="0" w:line="174" w:lineRule="exact"/>
        <w:rPr>
          <w:rFonts w:ascii="Arial" w:cs="Arial" w:eastAsia="Arial" w:hAnsi="Arial"/>
          <w:sz w:val="20"/>
          <w:szCs w:val="20"/>
          <w:color w:val="595757"/>
        </w:rPr>
      </w:pPr>
    </w:p>
    <w:p>
      <w:pPr>
        <w:ind w:left="1220"/>
        <w:spacing w:after="0" w:line="206" w:lineRule="exact"/>
        <w:rPr>
          <w:rFonts w:ascii="Arial" w:cs="Arial" w:eastAsia="Arial" w:hAnsi="Arial"/>
          <w:sz w:val="20"/>
          <w:szCs w:val="20"/>
          <w:color w:val="595757"/>
        </w:rPr>
      </w:pPr>
      <w:r>
        <w:rPr>
          <w:rFonts w:ascii="Arial" w:cs="Arial" w:eastAsia="Arial" w:hAnsi="Arial"/>
          <w:sz w:val="1"/>
          <w:szCs w:val="1"/>
          <w:color w:val="595757"/>
        </w:rPr>
        <w:drawing>
          <wp:inline distT="0" distB="0" distL="0" distR="0">
            <wp:extent cx="62230" cy="62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extLst>
                    </a:blip>
                    <a:srcRect/>
                    <a:stretch>
                      <a:fillRect/>
                    </a:stretch>
                  </pic:blipFill>
                  <pic:spPr bwMode="auto">
                    <a:xfrm>
                      <a:off x="0" y="0"/>
                      <a:ext cx="62230" cy="62230"/>
                    </a:xfrm>
                    <a:prstGeom prst="rect">
                      <a:avLst/>
                    </a:prstGeom>
                    <a:noFill/>
                    <a:ln>
                      <a:noFill/>
                    </a:ln>
                  </pic:spPr>
                </pic:pic>
              </a:graphicData>
            </a:graphic>
          </wp:inline>
        </w:drawing>
      </w:r>
      <w:r>
        <w:rPr>
          <w:rFonts w:ascii="SimSun" w:cs="SimSun" w:eastAsia="SimSun" w:hAnsi="SimSun"/>
          <w:sz w:val="18"/>
          <w:szCs w:val="18"/>
          <w:color w:val="595757"/>
        </w:rPr>
        <w:t xml:space="preserve">  如何优化资本结构：资产负债率</w:t>
      </w:r>
    </w:p>
    <w:p>
      <w:pPr>
        <w:spacing w:after="0" w:line="174" w:lineRule="exact"/>
        <w:rPr>
          <w:rFonts w:ascii="Arial" w:cs="Arial" w:eastAsia="Arial" w:hAnsi="Arial"/>
          <w:sz w:val="20"/>
          <w:szCs w:val="20"/>
          <w:color w:val="595757"/>
        </w:rPr>
      </w:pPr>
    </w:p>
    <w:p>
      <w:pPr>
        <w:ind w:left="1220"/>
        <w:spacing w:after="0" w:line="219" w:lineRule="exact"/>
        <w:rPr>
          <w:rFonts w:ascii="Arial" w:cs="Arial" w:eastAsia="Arial" w:hAnsi="Arial"/>
          <w:sz w:val="20"/>
          <w:szCs w:val="20"/>
          <w:color w:val="595757"/>
        </w:rPr>
      </w:pPr>
      <w:r>
        <w:rPr>
          <w:rFonts w:ascii="Arial" w:cs="Arial" w:eastAsia="Arial" w:hAnsi="Arial"/>
          <w:sz w:val="1"/>
          <w:szCs w:val="1"/>
          <w:color w:val="595757"/>
        </w:rPr>
        <w:drawing>
          <wp:inline distT="0" distB="0" distL="0" distR="0">
            <wp:extent cx="62230" cy="62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extLst>
                    </a:blip>
                    <a:srcRect/>
                    <a:stretch>
                      <a:fillRect/>
                    </a:stretch>
                  </pic:blipFill>
                  <pic:spPr bwMode="auto">
                    <a:xfrm>
                      <a:off x="0" y="0"/>
                      <a:ext cx="62230" cy="62230"/>
                    </a:xfrm>
                    <a:prstGeom prst="rect">
                      <a:avLst/>
                    </a:prstGeom>
                    <a:noFill/>
                    <a:ln>
                      <a:noFill/>
                    </a:ln>
                  </pic:spPr>
                </pic:pic>
              </a:graphicData>
            </a:graphic>
          </wp:inline>
        </w:drawing>
      </w:r>
      <w:r>
        <w:rPr>
          <w:rFonts w:ascii="SimSun" w:cs="SimSun" w:eastAsia="SimSun" w:hAnsi="SimSun"/>
          <w:sz w:val="18"/>
          <w:szCs w:val="18"/>
          <w:color w:val="595757"/>
        </w:rPr>
        <w:t xml:space="preserve">  如何增强盈利能力：</w:t>
      </w:r>
      <w:r>
        <w:rPr>
          <w:rFonts w:ascii="Arial" w:cs="Arial" w:eastAsia="Arial" w:hAnsi="Arial"/>
          <w:sz w:val="18"/>
          <w:szCs w:val="18"/>
          <w:color w:val="595757"/>
        </w:rPr>
        <w:t>ROS</w:t>
      </w:r>
      <w:r>
        <w:rPr>
          <w:rFonts w:ascii="SimSun" w:cs="SimSun" w:eastAsia="SimSun" w:hAnsi="SimSun"/>
          <w:sz w:val="18"/>
          <w:szCs w:val="18"/>
          <w:color w:val="595757"/>
        </w:rPr>
        <w:t xml:space="preserve"> 、</w:t>
      </w:r>
      <w:r>
        <w:rPr>
          <w:rFonts w:ascii="Arial" w:cs="Arial" w:eastAsia="Arial" w:hAnsi="Arial"/>
          <w:sz w:val="18"/>
          <w:szCs w:val="18"/>
          <w:color w:val="595757"/>
        </w:rPr>
        <w:t>ROA</w:t>
      </w:r>
      <w:r>
        <w:rPr>
          <w:rFonts w:ascii="SimSun" w:cs="SimSun" w:eastAsia="SimSun" w:hAnsi="SimSun"/>
          <w:sz w:val="18"/>
          <w:szCs w:val="18"/>
          <w:color w:val="595757"/>
        </w:rPr>
        <w:t>、</w:t>
      </w:r>
      <w:r>
        <w:rPr>
          <w:rFonts w:ascii="Arial" w:cs="Arial" w:eastAsia="Arial" w:hAnsi="Arial"/>
          <w:sz w:val="18"/>
          <w:szCs w:val="18"/>
          <w:color w:val="595757"/>
        </w:rPr>
        <w:t>ROE</w:t>
      </w:r>
    </w:p>
    <w:p>
      <w:pPr>
        <w:spacing w:after="0" w:line="125" w:lineRule="exact"/>
        <w:rPr>
          <w:rFonts w:ascii="Arial" w:cs="Arial" w:eastAsia="Arial" w:hAnsi="Arial"/>
          <w:sz w:val="20"/>
          <w:szCs w:val="20"/>
          <w:color w:val="595757"/>
        </w:rPr>
      </w:pPr>
    </w:p>
    <w:p>
      <w:pPr>
        <w:ind w:left="880" w:hanging="283"/>
        <w:spacing w:after="0" w:line="243" w:lineRule="exact"/>
        <w:tabs>
          <w:tab w:leader="none" w:pos="880" w:val="left"/>
        </w:tabs>
        <w:numPr>
          <w:ilvl w:val="0"/>
          <w:numId w:val="7"/>
        </w:numPr>
        <w:rPr>
          <w:rFonts w:ascii="Arial" w:cs="Arial" w:eastAsia="Arial" w:hAnsi="Arial"/>
          <w:sz w:val="20"/>
          <w:szCs w:val="20"/>
          <w:color w:val="231815"/>
        </w:rPr>
      </w:pPr>
      <w:r>
        <w:rPr>
          <w:rFonts w:ascii="SimSun" w:cs="SimSun" w:eastAsia="SimSun" w:hAnsi="SimSun"/>
          <w:sz w:val="20"/>
          <w:szCs w:val="20"/>
          <w:color w:val="231815"/>
        </w:rPr>
        <w:t>通过财务比率的分析有效提升企业业绩</w:t>
      </w:r>
    </w:p>
    <w:p>
      <w:pPr>
        <w:spacing w:after="0" w:line="173" w:lineRule="exact"/>
        <w:rPr>
          <w:rFonts w:ascii="Arial" w:cs="Arial" w:eastAsia="Arial" w:hAnsi="Arial"/>
          <w:sz w:val="20"/>
          <w:szCs w:val="20"/>
          <w:color w:val="231815"/>
        </w:rPr>
      </w:pPr>
    </w:p>
    <w:p>
      <w:pPr>
        <w:ind w:left="1220" w:hanging="279"/>
        <w:spacing w:after="0" w:line="230" w:lineRule="exact"/>
        <w:tabs>
          <w:tab w:leader="none" w:pos="1220" w:val="left"/>
        </w:tabs>
        <w:numPr>
          <w:ilvl w:val="1"/>
          <w:numId w:val="7"/>
        </w:numPr>
        <w:rPr>
          <w:rFonts w:ascii="Arial" w:cs="Arial" w:eastAsia="Arial" w:hAnsi="Arial"/>
          <w:sz w:val="20"/>
          <w:szCs w:val="20"/>
          <w:color w:val="595757"/>
        </w:rPr>
      </w:pPr>
      <w:r>
        <w:rPr>
          <w:rFonts w:ascii="SimSun" w:cs="SimSun" w:eastAsia="SimSun" w:hAnsi="SimSun"/>
          <w:sz w:val="18"/>
          <w:szCs w:val="18"/>
          <w:color w:val="595757"/>
        </w:rPr>
        <w:t>各个环节的财务比率对企业业绩的影响</w:t>
      </w:r>
    </w:p>
    <w:p>
      <w:pPr>
        <w:spacing w:after="0" w:line="150" w:lineRule="exact"/>
        <w:rPr>
          <w:rFonts w:ascii="Arial" w:cs="Arial" w:eastAsia="Arial" w:hAnsi="Arial"/>
          <w:sz w:val="20"/>
          <w:szCs w:val="20"/>
          <w:color w:val="595757"/>
        </w:rPr>
      </w:pPr>
    </w:p>
    <w:p>
      <w:pPr>
        <w:ind w:left="1220"/>
        <w:spacing w:after="0" w:line="206" w:lineRule="exact"/>
        <w:rPr>
          <w:rFonts w:ascii="Arial" w:cs="Arial" w:eastAsia="Arial" w:hAnsi="Arial"/>
          <w:sz w:val="20"/>
          <w:szCs w:val="20"/>
          <w:color w:val="595757"/>
        </w:rPr>
      </w:pPr>
      <w:r>
        <w:rPr>
          <w:rFonts w:ascii="Arial" w:cs="Arial" w:eastAsia="Arial" w:hAnsi="Arial"/>
          <w:sz w:val="1"/>
          <w:szCs w:val="1"/>
          <w:color w:val="595757"/>
        </w:rPr>
        <w:drawing>
          <wp:inline distT="0" distB="0" distL="0" distR="0">
            <wp:extent cx="62230" cy="622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extLst>
                    </a:blip>
                    <a:srcRect/>
                    <a:stretch>
                      <a:fillRect/>
                    </a:stretch>
                  </pic:blipFill>
                  <pic:spPr bwMode="auto">
                    <a:xfrm>
                      <a:off x="0" y="0"/>
                      <a:ext cx="62230" cy="62230"/>
                    </a:xfrm>
                    <a:prstGeom prst="rect">
                      <a:avLst/>
                    </a:prstGeom>
                    <a:noFill/>
                    <a:ln>
                      <a:noFill/>
                    </a:ln>
                  </pic:spPr>
                </pic:pic>
              </a:graphicData>
            </a:graphic>
          </wp:inline>
        </w:drawing>
      </w:r>
      <w:r>
        <w:rPr>
          <w:rFonts w:ascii="SimSun" w:cs="SimSun" w:eastAsia="SimSun" w:hAnsi="SimSun"/>
          <w:sz w:val="18"/>
          <w:szCs w:val="18"/>
          <w:color w:val="087887"/>
        </w:rPr>
        <w:t xml:space="preserve">  思考与讨论：各部门的工作对企业最终业绩的影响及控制方法</w:t>
      </w:r>
    </w:p>
    <w:p>
      <w:pPr>
        <w:spacing w:after="0" w:line="174" w:lineRule="exact"/>
        <w:rPr>
          <w:rFonts w:ascii="Arial" w:cs="Arial" w:eastAsia="Arial" w:hAnsi="Arial"/>
          <w:sz w:val="20"/>
          <w:szCs w:val="20"/>
          <w:color w:val="595757"/>
        </w:rPr>
      </w:pPr>
    </w:p>
    <w:p>
      <w:pPr>
        <w:ind w:left="1220" w:hanging="274"/>
        <w:spacing w:after="0" w:line="230" w:lineRule="exact"/>
        <w:tabs>
          <w:tab w:leader="none" w:pos="1220" w:val="left"/>
        </w:tabs>
        <w:numPr>
          <w:ilvl w:val="1"/>
          <w:numId w:val="7"/>
        </w:numPr>
        <w:rPr>
          <w:rFonts w:ascii="Arial" w:cs="Arial" w:eastAsia="Arial" w:hAnsi="Arial"/>
          <w:sz w:val="20"/>
          <w:szCs w:val="20"/>
          <w:color w:val="595757"/>
        </w:rPr>
      </w:pPr>
      <w:r>
        <w:rPr>
          <w:rFonts w:ascii="SimSun" w:cs="SimSun" w:eastAsia="SimSun" w:hAnsi="SimSun"/>
          <w:sz w:val="18"/>
          <w:szCs w:val="18"/>
          <w:color w:val="595757"/>
        </w:rPr>
        <w:t>不同的资金结构如何导致股东回报的差异</w:t>
      </w:r>
    </w:p>
    <w:p>
      <w:pPr>
        <w:spacing w:after="0" w:line="150" w:lineRule="exact"/>
        <w:rPr>
          <w:rFonts w:ascii="Arial" w:cs="Arial" w:eastAsia="Arial" w:hAnsi="Arial"/>
          <w:sz w:val="20"/>
          <w:szCs w:val="20"/>
          <w:color w:val="595757"/>
        </w:rPr>
      </w:pPr>
    </w:p>
    <w:p>
      <w:pPr>
        <w:ind w:left="1220" w:hanging="274"/>
        <w:spacing w:after="0" w:line="230" w:lineRule="exact"/>
        <w:tabs>
          <w:tab w:leader="none" w:pos="1220" w:val="left"/>
        </w:tabs>
        <w:numPr>
          <w:ilvl w:val="1"/>
          <w:numId w:val="7"/>
        </w:numPr>
        <w:rPr>
          <w:rFonts w:ascii="Arial" w:cs="Arial" w:eastAsia="Arial" w:hAnsi="Arial"/>
          <w:sz w:val="20"/>
          <w:szCs w:val="20"/>
          <w:color w:val="087887"/>
        </w:rPr>
      </w:pPr>
      <w:r>
        <w:rPr>
          <w:rFonts w:ascii="SimSun" w:cs="SimSun" w:eastAsia="SimSun" w:hAnsi="SimSun"/>
          <w:sz w:val="18"/>
          <w:szCs w:val="18"/>
          <w:color w:val="087887"/>
        </w:rPr>
        <w:t>案例分析：怎样产生理想的投资回报</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74295</wp:posOffset>
                </wp:positionH>
                <wp:positionV relativeFrom="paragraph">
                  <wp:posOffset>2605405</wp:posOffset>
                </wp:positionV>
                <wp:extent cx="676846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68465" cy="4763"/>
                        </a:xfrm>
                        <a:prstGeom prst="line">
                          <a:avLst/>
                        </a:prstGeom>
                        <a:solidFill>
                          <a:srgbClr val="FFFFFF"/>
                        </a:solidFill>
                        <a:ln w="6350">
                          <a:solidFill>
                            <a:srgbClr val="087887"/>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5pt,205.15pt" to="538.8pt,205.15pt" o:allowincell="f" strokecolor="#087887" strokeweight="0.5pt"/>
            </w:pict>
          </mc:Fallback>
        </mc:AlternateContent>
      </w:r>
    </w:p>
    <w:p>
      <w:pPr>
        <w:sectPr>
          <w:pgSz w:w="11900" w:h="16838" w:orient="portrait"/>
          <w:cols w:equalWidth="0" w:num="1">
            <w:col w:w="10780"/>
          </w:cols>
          <w:pgMar w:left="440" w:top="1023" w:right="6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line="267" w:lineRule="exact"/>
        <w:tabs>
          <w:tab w:leader="none" w:pos="5280" w:val="left"/>
          <w:tab w:leader="none" w:pos="8900" w:val="left"/>
        </w:tabs>
        <w:rPr>
          <w:sz w:val="20"/>
          <w:szCs w:val="20"/>
          <w:color w:val="auto"/>
        </w:rPr>
      </w:pPr>
      <w:r>
        <w:rPr>
          <w:rFonts w:ascii="SimSun" w:cs="SimSun" w:eastAsia="SimSun" w:hAnsi="SimSun"/>
          <w:sz w:val="22"/>
          <w:szCs w:val="22"/>
          <w:color w:val="323333"/>
        </w:rPr>
        <w:t>《</w:t>
      </w:r>
      <w:r>
        <w:rPr>
          <w:rFonts w:ascii="SimSun" w:cs="SimSun" w:eastAsia="SimSun" w:hAnsi="SimSun"/>
          <w:sz w:val="20"/>
          <w:szCs w:val="20"/>
          <w:color w:val="323333"/>
        </w:rPr>
        <w:t>非财务经理的财务课程</w:t>
      </w:r>
      <w:r>
        <w:rPr>
          <w:rFonts w:ascii="Arial" w:cs="Arial" w:eastAsia="Arial" w:hAnsi="Arial"/>
          <w:sz w:val="20"/>
          <w:szCs w:val="20"/>
          <w:color w:val="323333"/>
        </w:rPr>
        <w:t>(</w:t>
      </w:r>
      <w:r>
        <w:rPr>
          <w:rFonts w:ascii="SimSun" w:cs="SimSun" w:eastAsia="SimSun" w:hAnsi="SimSun"/>
          <w:sz w:val="20"/>
          <w:szCs w:val="20"/>
          <w:color w:val="323333"/>
        </w:rPr>
        <w:t>精要版</w:t>
      </w:r>
      <w:r>
        <w:rPr>
          <w:rFonts w:ascii="Arial" w:cs="Arial" w:eastAsia="Arial" w:hAnsi="Arial"/>
          <w:sz w:val="20"/>
          <w:szCs w:val="20"/>
          <w:color w:val="323333"/>
        </w:rPr>
        <w:t>)</w:t>
      </w:r>
      <w:r>
        <w:rPr>
          <w:rFonts w:ascii="SimSun" w:cs="SimSun" w:eastAsia="SimSun" w:hAnsi="SimSun"/>
          <w:sz w:val="22"/>
          <w:szCs w:val="22"/>
          <w:color w:val="323333"/>
        </w:rPr>
        <w:t>》</w:t>
      </w:r>
      <w:r>
        <w:rPr>
          <w:sz w:val="20"/>
          <w:szCs w:val="20"/>
          <w:color w:val="auto"/>
        </w:rPr>
        <w:tab/>
      </w:r>
      <w:r>
        <w:rPr>
          <w:rFonts w:ascii="Arial" w:cs="Arial" w:eastAsia="Arial" w:hAnsi="Arial"/>
          <w:sz w:val="20"/>
          <w:szCs w:val="20"/>
          <w:color w:val="231815"/>
        </w:rPr>
        <w:t>05</w:t>
      </w:r>
      <w:r>
        <w:rPr>
          <w:sz w:val="20"/>
          <w:szCs w:val="20"/>
          <w:color w:val="auto"/>
        </w:rPr>
        <w:tab/>
      </w:r>
      <w:r>
        <w:rPr>
          <w:rFonts w:ascii="SimSun" w:cs="SimSun" w:eastAsia="SimSun" w:hAnsi="SimSun"/>
          <w:sz w:val="21"/>
          <w:szCs w:val="21"/>
          <w:color w:val="323333"/>
        </w:rPr>
        <w:t>选择安越 因为专业</w:t>
      </w:r>
    </w:p>
    <w:p>
      <w:pPr>
        <w:sectPr>
          <w:pgSz w:w="11900" w:h="16838" w:orient="portrait"/>
          <w:cols w:equalWidth="0" w:num="1">
            <w:col w:w="10780"/>
          </w:cols>
          <w:pgMar w:left="440" w:top="1023" w:right="686" w:bottom="0" w:gutter="0" w:footer="0" w:header="0"/>
          <w:type w:val="continuous"/>
        </w:sectPr>
      </w:pPr>
    </w:p>
    <w:bookmarkStart w:id="6" w:name="page7"/>
    <w:bookmarkEnd w:id="6"/>
    <w:p>
      <w:pPr>
        <w:spacing w:after="0" w:line="320" w:lineRule="exact"/>
        <w:rPr>
          <w:sz w:val="20"/>
          <w:szCs w:val="20"/>
          <w:color w:val="auto"/>
        </w:rPr>
      </w:pPr>
      <w:r>
        <w:rPr>
          <w:rFonts w:ascii="SimSun" w:cs="SimSun" w:eastAsia="SimSun" w:hAnsi="SimSun"/>
          <w:sz w:val="28"/>
          <w:szCs w:val="28"/>
          <w:color w:val="FFFFFF"/>
        </w:rPr>
        <w:t>场</w:t>
      </w:r>
    </w:p>
    <w:p>
      <w:pPr>
        <w:spacing w:after="0" w:line="280" w:lineRule="exact"/>
        <w:rPr>
          <w:sz w:val="20"/>
          <w:szCs w:val="20"/>
          <w:color w:val="auto"/>
        </w:rPr>
      </w:pPr>
      <w:r>
        <w:rPr>
          <w:rFonts w:ascii="SimSun" w:cs="SimSun" w:eastAsia="SimSun" w:hAnsi="SimSun"/>
          <w:sz w:val="28"/>
          <w:szCs w:val="28"/>
          <w:color w:val="FFFFFF"/>
        </w:rPr>
        <w:t>现</w:t>
      </w:r>
    </w:p>
    <w:p>
      <w:pPr>
        <w:spacing w:after="0" w:line="280" w:lineRule="exact"/>
        <w:rPr>
          <w:sz w:val="20"/>
          <w:szCs w:val="20"/>
          <w:color w:val="auto"/>
        </w:rPr>
      </w:pPr>
      <w:r>
        <w:rPr>
          <w:rFonts w:ascii="SimSun" w:cs="SimSun" w:eastAsia="SimSun" w:hAnsi="SimSun"/>
          <w:sz w:val="28"/>
          <w:szCs w:val="28"/>
          <w:color w:val="FFFFFF"/>
        </w:rPr>
        <w:t>击</w:t>
      </w:r>
    </w:p>
    <w:p>
      <w:pPr>
        <w:spacing w:after="0" w:line="1" w:lineRule="exact"/>
        <w:rPr>
          <w:sz w:val="20"/>
          <w:szCs w:val="20"/>
          <w:color w:val="auto"/>
        </w:rPr>
      </w:pPr>
    </w:p>
    <w:p>
      <w:pPr>
        <w:spacing w:after="0" w:line="320" w:lineRule="exact"/>
        <w:rPr>
          <w:sz w:val="20"/>
          <w:szCs w:val="20"/>
          <w:color w:val="auto"/>
        </w:rPr>
      </w:pPr>
      <w:r>
        <w:rPr>
          <w:rFonts w:ascii="SimSun" w:cs="SimSun" w:eastAsia="SimSun" w:hAnsi="SimSun"/>
          <w:sz w:val="28"/>
          <w:szCs w:val="28"/>
          <w:color w:val="FFFFFF"/>
        </w:rPr>
        <w:t>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-494665</wp:posOffset>
            </wp:positionH>
            <wp:positionV relativeFrom="paragraph">
              <wp:posOffset>-140970</wp:posOffset>
            </wp:positionV>
            <wp:extent cx="7376160" cy="27006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extLst>
                    </a:blip>
                    <a:srcRect/>
                    <a:stretch>
                      <a:fillRect/>
                    </a:stretch>
                  </pic:blipFill>
                  <pic:spPr bwMode="auto">
                    <a:xfrm>
                      <a:off x="0" y="0"/>
                      <a:ext cx="7376160" cy="2700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594" w:type="dxa"/>
        <w:tblCellMar>
          <w:top w:w="0" w:type="dxa"/>
          <w:left w:w="0" w:type="dxa"/>
          <w:bottom w:w="0" w:type="dxa"/>
          <w:right w:w="0" w:type="dxa"/>
        </w:tblCellMar>
      </w:tblPr>
      <w:tr>
        <w:trPr>
          <w:trHeight w:val="4294966897"/>
        </w:trPr>
        <w:tc>
          <w:tcPr>
            <w:tcW w:w="80" w:type="dxa"/>
            <w:vAlign w:val="bottom"/>
            <w:textDirection w:val="tbRl"/>
          </w:tcPr>
          <w:p>
            <w:pPr>
              <w:spacing w:after="0"/>
              <w:rPr>
                <w:sz w:val="20"/>
                <w:szCs w:val="20"/>
                <w:color w:val="auto"/>
              </w:rPr>
            </w:pPr>
            <w:r>
              <w:rPr>
                <w:rFonts w:ascii="Arial" w:cs="Arial" w:eastAsia="Arial" w:hAnsi="Arial"/>
                <w:sz w:val="7"/>
                <w:szCs w:val="7"/>
                <w:color w:val="FFFFFF"/>
              </w:rPr>
              <w:t>THESCENE</w:t>
            </w:r>
          </w:p>
        </w:tc>
      </w:tr>
    </w:tbl>
    <w:p>
      <w:pPr>
        <w:spacing w:after="0" w:line="1" w:lineRule="exact"/>
        <w:rPr>
          <w:sz w:val="20"/>
          <w:szCs w:val="20"/>
          <w:color w:val="auto"/>
        </w:rPr>
      </w:pPr>
    </w:p>
    <w:tbl>
      <w:tblPr>
        <w:tblLayout w:type="fixed"/>
        <w:tblInd w:w="397" w:type="dxa"/>
        <w:tblCellMar>
          <w:top w:w="0" w:type="dxa"/>
          <w:left w:w="0" w:type="dxa"/>
          <w:bottom w:w="0" w:type="dxa"/>
          <w:right w:w="0" w:type="dxa"/>
        </w:tblCellMar>
      </w:tblPr>
      <w:tr>
        <w:trPr>
          <w:trHeight w:val="940"/>
        </w:trPr>
        <w:tc>
          <w:tcPr>
            <w:tcW w:w="184" w:type="dxa"/>
            <w:vAlign w:val="bottom"/>
            <w:textDirection w:val="tbRl"/>
          </w:tcPr>
          <w:p>
            <w:pPr>
              <w:spacing w:after="0"/>
              <w:rPr>
                <w:sz w:val="20"/>
                <w:szCs w:val="20"/>
                <w:color w:val="auto"/>
              </w:rPr>
            </w:pPr>
            <w:r>
              <w:rPr>
                <w:rFonts w:ascii="Arial" w:cs="Arial" w:eastAsia="Arial" w:hAnsi="Arial"/>
                <w:sz w:val="16"/>
                <w:szCs w:val="16"/>
                <w:color w:val="FFFFFF"/>
              </w:rPr>
              <w:t>THE SCENE</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260"/>
        <w:spacing w:after="0" w:line="340" w:lineRule="exact"/>
        <w:tabs>
          <w:tab w:leader="none" w:pos="2480" w:val="left"/>
        </w:tabs>
        <w:rPr>
          <w:sz w:val="20"/>
          <w:szCs w:val="20"/>
          <w:color w:val="auto"/>
        </w:rPr>
      </w:pPr>
      <w:r>
        <w:rPr>
          <w:rFonts w:ascii="SimSun" w:cs="SimSun" w:eastAsia="SimSun" w:hAnsi="SimSun"/>
          <w:sz w:val="28"/>
          <w:szCs w:val="28"/>
          <w:color w:val="087887"/>
        </w:rPr>
        <w:t>国际合作及荣誉</w:t>
      </w:r>
      <w:r>
        <w:rPr>
          <w:sz w:val="20"/>
          <w:szCs w:val="20"/>
          <w:color w:val="auto"/>
        </w:rPr>
        <w:tab/>
      </w:r>
      <w:r>
        <w:rPr>
          <w:rFonts w:ascii="Arial" w:cs="Arial" w:eastAsia="Arial" w:hAnsi="Arial"/>
          <w:sz w:val="17"/>
          <w:szCs w:val="17"/>
          <w:color w:val="8D8D8D"/>
        </w:rPr>
        <w:t>WIDESPREAD PRAISE</w:t>
      </w:r>
    </w:p>
    <w:p>
      <w:pPr>
        <w:sectPr>
          <w:pgSz w:w="11900" w:h="16838" w:orient="portrait"/>
          <w:cols w:equalWidth="0" w:num="1">
            <w:col w:w="10220"/>
          </w:cols>
          <w:pgMar w:left="780" w:top="244" w:right="906" w:bottom="0" w:gutter="0" w:footer="0" w:header="0"/>
        </w:sectPr>
      </w:pPr>
    </w:p>
    <w:p>
      <w:pPr>
        <w:spacing w:after="0" w:line="200" w:lineRule="exact"/>
        <w:rPr>
          <w:sz w:val="20"/>
          <w:szCs w:val="20"/>
          <w:color w:val="auto"/>
        </w:rPr>
      </w:pPr>
    </w:p>
    <w:p>
      <w:pPr>
        <w:spacing w:after="0" w:line="246" w:lineRule="exact"/>
        <w:rPr>
          <w:sz w:val="20"/>
          <w:szCs w:val="20"/>
          <w:color w:val="auto"/>
        </w:rPr>
      </w:pPr>
    </w:p>
    <w:p>
      <w:pPr>
        <w:ind w:left="260"/>
        <w:spacing w:after="0" w:line="251" w:lineRule="exact"/>
        <w:rPr>
          <w:sz w:val="20"/>
          <w:szCs w:val="20"/>
          <w:color w:val="auto"/>
        </w:rPr>
      </w:pPr>
      <w:r>
        <w:rPr>
          <w:rFonts w:ascii="SimSun" w:cs="SimSun" w:eastAsia="SimSun" w:hAnsi="SimSun"/>
          <w:sz w:val="22"/>
          <w:szCs w:val="22"/>
          <w:color w:val="231815"/>
        </w:rPr>
        <w:t>课程获得权威认可</w:t>
      </w:r>
    </w:p>
    <w:p>
      <w:pPr>
        <w:spacing w:after="0" w:line="172" w:lineRule="exact"/>
        <w:rPr>
          <w:sz w:val="20"/>
          <w:szCs w:val="20"/>
          <w:color w:val="auto"/>
        </w:rPr>
      </w:pPr>
    </w:p>
    <w:p>
      <w:pPr>
        <w:ind w:left="260" w:right="460"/>
        <w:spacing w:after="0" w:line="409" w:lineRule="exact"/>
        <w:rPr>
          <w:sz w:val="20"/>
          <w:szCs w:val="20"/>
          <w:color w:val="auto"/>
        </w:rPr>
      </w:pPr>
      <w:r>
        <w:rPr>
          <w:rFonts w:ascii="SimSun" w:cs="SimSun" w:eastAsia="SimSun" w:hAnsi="SimSun"/>
          <w:sz w:val="18"/>
          <w:szCs w:val="18"/>
          <w:color w:val="4C4948"/>
        </w:rPr>
        <w:t>两度荣膺中国企业培训</w:t>
      </w:r>
      <w:r>
        <w:rPr>
          <w:rFonts w:ascii="Arial" w:cs="Arial" w:eastAsia="Arial" w:hAnsi="Arial"/>
          <w:sz w:val="18"/>
          <w:szCs w:val="18"/>
          <w:color w:val="4C4948"/>
        </w:rPr>
        <w:t>“</w:t>
      </w:r>
      <w:r>
        <w:rPr>
          <w:rFonts w:ascii="SimSun" w:cs="SimSun" w:eastAsia="SimSun" w:hAnsi="SimSun"/>
          <w:sz w:val="18"/>
          <w:szCs w:val="18"/>
          <w:color w:val="4C4948"/>
        </w:rPr>
        <w:t>百佳精品课程</w:t>
      </w:r>
      <w:r>
        <w:rPr>
          <w:rFonts w:ascii="Arial" w:cs="Arial" w:eastAsia="Arial" w:hAnsi="Arial"/>
          <w:sz w:val="18"/>
          <w:szCs w:val="18"/>
          <w:color w:val="4C4948"/>
        </w:rPr>
        <w:t>”</w:t>
      </w:r>
      <w:r>
        <w:rPr>
          <w:rFonts w:ascii="SimSun" w:cs="SimSun" w:eastAsia="SimSun" w:hAnsi="SimSun"/>
          <w:sz w:val="18"/>
          <w:szCs w:val="18"/>
          <w:color w:val="4C4948"/>
        </w:rPr>
        <w:t>奖两度荣膺中国企业培训</w:t>
      </w:r>
      <w:r>
        <w:rPr>
          <w:rFonts w:ascii="Arial" w:cs="Arial" w:eastAsia="Arial" w:hAnsi="Arial"/>
          <w:sz w:val="18"/>
          <w:szCs w:val="18"/>
          <w:color w:val="4C4948"/>
        </w:rPr>
        <w:t>“</w:t>
      </w:r>
      <w:r>
        <w:rPr>
          <w:rFonts w:ascii="SimSun" w:cs="SimSun" w:eastAsia="SimSun" w:hAnsi="SimSun"/>
          <w:sz w:val="18"/>
          <w:szCs w:val="18"/>
          <w:color w:val="4C4948"/>
        </w:rPr>
        <w:t>最佳品牌课程</w:t>
      </w:r>
      <w:r>
        <w:rPr>
          <w:rFonts w:ascii="Arial" w:cs="Arial" w:eastAsia="Arial" w:hAnsi="Arial"/>
          <w:sz w:val="18"/>
          <w:szCs w:val="18"/>
          <w:color w:val="4C4948"/>
        </w:rPr>
        <w:t>”</w:t>
      </w:r>
      <w:r>
        <w:rPr>
          <w:rFonts w:ascii="SimSun" w:cs="SimSun" w:eastAsia="SimSun" w:hAnsi="SimSun"/>
          <w:sz w:val="18"/>
          <w:szCs w:val="18"/>
          <w:color w:val="4C4948"/>
        </w:rPr>
        <w:t>奖</w:t>
      </w:r>
    </w:p>
    <w:p>
      <w:pPr>
        <w:spacing w:after="0" w:line="53" w:lineRule="exact"/>
        <w:rPr>
          <w:sz w:val="20"/>
          <w:szCs w:val="20"/>
          <w:color w:val="auto"/>
        </w:rPr>
      </w:pPr>
    </w:p>
    <w:p>
      <w:pPr>
        <w:ind w:left="260"/>
        <w:spacing w:after="0" w:line="251" w:lineRule="exact"/>
        <w:rPr>
          <w:sz w:val="20"/>
          <w:szCs w:val="20"/>
          <w:color w:val="auto"/>
        </w:rPr>
      </w:pPr>
      <w:r>
        <w:rPr>
          <w:rFonts w:ascii="SimSun" w:cs="SimSun" w:eastAsia="SimSun" w:hAnsi="SimSun"/>
          <w:sz w:val="22"/>
          <w:szCs w:val="22"/>
          <w:color w:val="231815"/>
        </w:rPr>
        <w:t>质量获得国际认可</w:t>
      </w:r>
    </w:p>
    <w:p>
      <w:pPr>
        <w:spacing w:after="0" w:line="142" w:lineRule="exact"/>
        <w:rPr>
          <w:sz w:val="20"/>
          <w:szCs w:val="20"/>
          <w:color w:val="auto"/>
        </w:rPr>
      </w:pPr>
    </w:p>
    <w:p>
      <w:pPr>
        <w:ind w:left="260"/>
        <w:spacing w:after="0" w:line="219" w:lineRule="exact"/>
        <w:rPr>
          <w:sz w:val="20"/>
          <w:szCs w:val="20"/>
          <w:color w:val="auto"/>
        </w:rPr>
      </w:pPr>
      <w:r>
        <w:rPr>
          <w:rFonts w:ascii="Arial" w:cs="Arial" w:eastAsia="Arial" w:hAnsi="Arial"/>
          <w:sz w:val="18"/>
          <w:szCs w:val="18"/>
          <w:color w:val="4C4948"/>
        </w:rPr>
        <w:t>ACCA</w:t>
      </w:r>
      <w:r>
        <w:rPr>
          <w:rFonts w:ascii="SimSun" w:cs="SimSun" w:eastAsia="SimSun" w:hAnsi="SimSun"/>
          <w:sz w:val="18"/>
          <w:szCs w:val="18"/>
          <w:color w:val="4C4948"/>
        </w:rPr>
        <w:t>在华首家</w:t>
      </w:r>
      <w:r>
        <w:rPr>
          <w:rFonts w:ascii="Arial" w:cs="Arial" w:eastAsia="Arial" w:hAnsi="Arial"/>
          <w:sz w:val="18"/>
          <w:szCs w:val="18"/>
          <w:color w:val="4C4948"/>
        </w:rPr>
        <w:t>CPD</w:t>
      </w:r>
      <w:r>
        <w:rPr>
          <w:rFonts w:ascii="SimSun" w:cs="SimSun" w:eastAsia="SimSun" w:hAnsi="SimSun"/>
          <w:sz w:val="18"/>
          <w:szCs w:val="18"/>
          <w:color w:val="4C4948"/>
        </w:rPr>
        <w:t>合作机构</w:t>
      </w:r>
    </w:p>
    <w:p>
      <w:pPr>
        <w:spacing w:after="0" w:line="92" w:lineRule="exact"/>
        <w:rPr>
          <w:sz w:val="20"/>
          <w:szCs w:val="20"/>
          <w:color w:val="auto"/>
        </w:rPr>
      </w:pPr>
    </w:p>
    <w:p>
      <w:pPr>
        <w:ind w:left="260"/>
        <w:spacing w:after="0" w:line="219" w:lineRule="exact"/>
        <w:rPr>
          <w:sz w:val="20"/>
          <w:szCs w:val="20"/>
          <w:color w:val="auto"/>
        </w:rPr>
      </w:pPr>
      <w:r>
        <w:rPr>
          <w:rFonts w:ascii="Arial" w:cs="Arial" w:eastAsia="Arial" w:hAnsi="Arial"/>
          <w:sz w:val="18"/>
          <w:szCs w:val="18"/>
          <w:color w:val="4C4948"/>
        </w:rPr>
        <w:t>I M A</w:t>
      </w:r>
      <w:r>
        <w:rPr>
          <w:rFonts w:ascii="SimSun" w:cs="SimSun" w:eastAsia="SimSun" w:hAnsi="SimSun"/>
          <w:sz w:val="18"/>
          <w:szCs w:val="18"/>
          <w:color w:val="4C4948"/>
        </w:rPr>
        <w:t>在华首家</w:t>
      </w:r>
      <w:r>
        <w:rPr>
          <w:rFonts w:ascii="Arial" w:cs="Arial" w:eastAsia="Arial" w:hAnsi="Arial"/>
          <w:sz w:val="18"/>
          <w:szCs w:val="18"/>
          <w:color w:val="4C4948"/>
        </w:rPr>
        <w:t>CPE</w:t>
      </w:r>
      <w:r>
        <w:rPr>
          <w:rFonts w:ascii="SimSun" w:cs="SimSun" w:eastAsia="SimSun" w:hAnsi="SimSun"/>
          <w:sz w:val="18"/>
          <w:szCs w:val="18"/>
          <w:color w:val="4C4948"/>
        </w:rPr>
        <w:t>合作机构</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161290</wp:posOffset>
            </wp:positionH>
            <wp:positionV relativeFrom="paragraph">
              <wp:posOffset>358775</wp:posOffset>
            </wp:positionV>
            <wp:extent cx="1377315" cy="3721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extLst>
                    </a:blip>
                    <a:srcRect/>
                    <a:stretch>
                      <a:fillRect/>
                    </a:stretch>
                  </pic:blipFill>
                  <pic:spPr bwMode="auto">
                    <a:xfrm>
                      <a:off x="0" y="0"/>
                      <a:ext cx="1377315" cy="3721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6" w:lineRule="exact"/>
        <w:rPr>
          <w:sz w:val="20"/>
          <w:szCs w:val="20"/>
          <w:color w:val="auto"/>
        </w:rPr>
      </w:pPr>
    </w:p>
    <w:p>
      <w:pPr>
        <w:spacing w:after="0" w:line="251" w:lineRule="exact"/>
        <w:rPr>
          <w:sz w:val="20"/>
          <w:szCs w:val="20"/>
          <w:color w:val="auto"/>
        </w:rPr>
      </w:pPr>
      <w:r>
        <w:rPr>
          <w:rFonts w:ascii="SimSun" w:cs="SimSun" w:eastAsia="SimSun" w:hAnsi="SimSun"/>
          <w:sz w:val="22"/>
          <w:szCs w:val="22"/>
          <w:color w:val="231815"/>
        </w:rPr>
        <w:t>服务受到广泛赞誉</w:t>
      </w:r>
    </w:p>
    <w:p>
      <w:pPr>
        <w:spacing w:after="0" w:line="172" w:lineRule="exact"/>
        <w:rPr>
          <w:sz w:val="20"/>
          <w:szCs w:val="20"/>
          <w:color w:val="auto"/>
        </w:rPr>
      </w:pPr>
    </w:p>
    <w:p>
      <w:pPr>
        <w:ind w:right="1240"/>
        <w:spacing w:after="0" w:line="314" w:lineRule="exact"/>
        <w:rPr>
          <w:sz w:val="20"/>
          <w:szCs w:val="20"/>
          <w:color w:val="auto"/>
        </w:rPr>
      </w:pPr>
      <w:r>
        <w:rPr>
          <w:rFonts w:ascii="SimSun" w:cs="SimSun" w:eastAsia="SimSun" w:hAnsi="SimSun"/>
          <w:sz w:val="18"/>
          <w:szCs w:val="18"/>
          <w:color w:val="4C4948"/>
        </w:rPr>
        <w:t>两度荣获《培训》杂志</w:t>
      </w:r>
      <w:r>
        <w:rPr>
          <w:rFonts w:ascii="Arial" w:cs="Arial" w:eastAsia="Arial" w:hAnsi="Arial"/>
          <w:sz w:val="18"/>
          <w:szCs w:val="18"/>
          <w:color w:val="4C4948"/>
        </w:rPr>
        <w:t>”</w:t>
      </w:r>
      <w:r>
        <w:rPr>
          <w:rFonts w:ascii="SimSun" w:cs="SimSun" w:eastAsia="SimSun" w:hAnsi="SimSun"/>
          <w:sz w:val="18"/>
          <w:szCs w:val="18"/>
          <w:color w:val="4C4948"/>
        </w:rPr>
        <w:t>中国企业培训行业标杆品牌奖</w:t>
      </w:r>
      <w:r>
        <w:rPr>
          <w:rFonts w:ascii="Arial" w:cs="Arial" w:eastAsia="Arial" w:hAnsi="Arial"/>
          <w:sz w:val="18"/>
          <w:szCs w:val="18"/>
          <w:color w:val="4C4948"/>
        </w:rPr>
        <w:t>”</w:t>
      </w:r>
      <w:r>
        <w:rPr>
          <w:rFonts w:ascii="SimSun" w:cs="SimSun" w:eastAsia="SimSun" w:hAnsi="SimSun"/>
          <w:sz w:val="18"/>
          <w:szCs w:val="18"/>
          <w:color w:val="4C4948"/>
        </w:rPr>
        <w:t>荣获中国人才（</w:t>
      </w:r>
      <w:r>
        <w:rPr>
          <w:rFonts w:ascii="Arial" w:cs="Arial" w:eastAsia="Arial" w:hAnsi="Arial"/>
          <w:sz w:val="18"/>
          <w:szCs w:val="18"/>
          <w:color w:val="4C4948"/>
        </w:rPr>
        <w:t>China STAFF</w:t>
      </w:r>
      <w:r>
        <w:rPr>
          <w:rFonts w:ascii="SimSun" w:cs="SimSun" w:eastAsia="SimSun" w:hAnsi="SimSun"/>
          <w:sz w:val="18"/>
          <w:szCs w:val="18"/>
          <w:color w:val="4C4948"/>
        </w:rPr>
        <w:t>）</w:t>
      </w:r>
      <w:r>
        <w:rPr>
          <w:rFonts w:ascii="Arial" w:cs="Arial" w:eastAsia="Arial" w:hAnsi="Arial"/>
          <w:sz w:val="18"/>
          <w:szCs w:val="18"/>
          <w:color w:val="4C4948"/>
        </w:rPr>
        <w:t>“</w:t>
      </w:r>
      <w:r>
        <w:rPr>
          <w:rFonts w:ascii="SimSun" w:cs="SimSun" w:eastAsia="SimSun" w:hAnsi="SimSun"/>
          <w:sz w:val="18"/>
          <w:szCs w:val="18"/>
          <w:color w:val="4C4948"/>
        </w:rPr>
        <w:t>年度最佳培训公司</w:t>
      </w:r>
      <w:r>
        <w:rPr>
          <w:rFonts w:ascii="Arial" w:cs="Arial" w:eastAsia="Arial" w:hAnsi="Arial"/>
          <w:sz w:val="18"/>
          <w:szCs w:val="18"/>
          <w:color w:val="4C4948"/>
        </w:rPr>
        <w:t>”</w:t>
      </w:r>
      <w:r>
        <w:rPr>
          <w:rFonts w:ascii="SimSun" w:cs="SimSun" w:eastAsia="SimSun" w:hAnsi="SimSun"/>
          <w:sz w:val="18"/>
          <w:szCs w:val="18"/>
          <w:color w:val="4C4948"/>
        </w:rPr>
        <w:t>奖获赞</w:t>
      </w:r>
      <w:r>
        <w:rPr>
          <w:rFonts w:ascii="Arial" w:cs="Arial" w:eastAsia="Arial" w:hAnsi="Arial"/>
          <w:sz w:val="18"/>
          <w:szCs w:val="18"/>
          <w:color w:val="4C4948"/>
        </w:rPr>
        <w:t>“</w:t>
      </w:r>
      <w:r>
        <w:rPr>
          <w:rFonts w:ascii="SimSun" w:cs="SimSun" w:eastAsia="SimSun" w:hAnsi="SimSun"/>
          <w:sz w:val="18"/>
          <w:szCs w:val="18"/>
          <w:color w:val="4C4948"/>
        </w:rPr>
        <w:t>中国</w:t>
      </w:r>
      <w:r>
        <w:rPr>
          <w:rFonts w:ascii="Arial" w:cs="Arial" w:eastAsia="Arial" w:hAnsi="Arial"/>
          <w:sz w:val="18"/>
          <w:szCs w:val="18"/>
          <w:color w:val="4C4948"/>
        </w:rPr>
        <w:t>CFO</w:t>
      </w:r>
      <w:r>
        <w:rPr>
          <w:rFonts w:ascii="SimSun" w:cs="SimSun" w:eastAsia="SimSun" w:hAnsi="SimSun"/>
          <w:sz w:val="18"/>
          <w:szCs w:val="18"/>
          <w:color w:val="4C4948"/>
        </w:rPr>
        <w:t>最信赖的财务培训服务机构</w:t>
      </w:r>
      <w:r>
        <w:rPr>
          <w:rFonts w:ascii="Arial" w:cs="Arial" w:eastAsia="Arial" w:hAnsi="Arial"/>
          <w:sz w:val="18"/>
          <w:szCs w:val="18"/>
          <w:color w:val="4C4948"/>
        </w:rPr>
        <w:t>”</w:t>
      </w:r>
    </w:p>
    <w:p>
      <w:pPr>
        <w:spacing w:after="0" w:line="2" w:lineRule="exact"/>
        <w:rPr>
          <w:sz w:val="20"/>
          <w:szCs w:val="20"/>
          <w:color w:val="auto"/>
        </w:rPr>
      </w:pPr>
    </w:p>
    <w:p>
      <w:pPr>
        <w:spacing w:after="0" w:line="219" w:lineRule="exact"/>
        <w:rPr>
          <w:sz w:val="20"/>
          <w:szCs w:val="20"/>
          <w:color w:val="auto"/>
        </w:rPr>
      </w:pPr>
      <w:r>
        <w:rPr>
          <w:rFonts w:ascii="SimSun" w:cs="SimSun" w:eastAsia="SimSun" w:hAnsi="SimSun"/>
          <w:sz w:val="18"/>
          <w:szCs w:val="18"/>
          <w:color w:val="4C4948"/>
        </w:rPr>
        <w:t>独家荣获《新理财杂志》</w:t>
      </w:r>
      <w:r>
        <w:rPr>
          <w:rFonts w:ascii="Arial" w:cs="Arial" w:eastAsia="Arial" w:hAnsi="Arial"/>
          <w:sz w:val="18"/>
          <w:szCs w:val="18"/>
          <w:color w:val="4C4948"/>
        </w:rPr>
        <w:t>“CFO</w:t>
      </w:r>
      <w:r>
        <w:rPr>
          <w:rFonts w:ascii="SimSun" w:cs="SimSun" w:eastAsia="SimSun" w:hAnsi="SimSun"/>
          <w:sz w:val="18"/>
          <w:szCs w:val="18"/>
          <w:color w:val="4C4948"/>
        </w:rPr>
        <w:t>金牌培训合作伙伴</w:t>
      </w:r>
      <w:r>
        <w:rPr>
          <w:rFonts w:ascii="Arial" w:cs="Arial" w:eastAsia="Arial" w:hAnsi="Arial"/>
          <w:sz w:val="18"/>
          <w:szCs w:val="18"/>
          <w:color w:val="4C4948"/>
        </w:rPr>
        <w:t>”</w:t>
      </w:r>
      <w:r>
        <w:rPr>
          <w:rFonts w:ascii="SimSun" w:cs="SimSun" w:eastAsia="SimSun" w:hAnsi="SimSun"/>
          <w:sz w:val="18"/>
          <w:szCs w:val="18"/>
          <w:color w:val="4C4948"/>
        </w:rPr>
        <w:t>奖</w:t>
      </w:r>
    </w:p>
    <w:p>
      <w:pPr>
        <w:spacing w:after="0" w:line="96" w:lineRule="exact"/>
        <w:rPr>
          <w:sz w:val="20"/>
          <w:szCs w:val="20"/>
          <w:color w:val="auto"/>
        </w:rPr>
      </w:pPr>
    </w:p>
    <w:p>
      <w:pPr>
        <w:ind w:right="660"/>
        <w:spacing w:after="0" w:line="414" w:lineRule="exact"/>
        <w:rPr>
          <w:sz w:val="20"/>
          <w:szCs w:val="20"/>
          <w:color w:val="auto"/>
        </w:rPr>
      </w:pPr>
      <w:r>
        <w:rPr>
          <w:rFonts w:ascii="SimSun" w:cs="SimSun" w:eastAsia="SimSun" w:hAnsi="SimSun"/>
          <w:sz w:val="18"/>
          <w:szCs w:val="18"/>
          <w:color w:val="4C4948"/>
        </w:rPr>
        <w:t>安越总经理马爽先生荣获中欧商学院</w:t>
      </w:r>
      <w:r>
        <w:rPr>
          <w:rFonts w:ascii="Arial" w:cs="Arial" w:eastAsia="Arial" w:hAnsi="Arial"/>
          <w:sz w:val="18"/>
          <w:szCs w:val="18"/>
          <w:color w:val="4C4948"/>
        </w:rPr>
        <w:t>“20</w:t>
      </w:r>
      <w:r>
        <w:rPr>
          <w:rFonts w:ascii="SimSun" w:cs="SimSun" w:eastAsia="SimSun" w:hAnsi="SimSun"/>
          <w:sz w:val="18"/>
          <w:szCs w:val="18"/>
          <w:color w:val="4C4948"/>
        </w:rPr>
        <w:t>年</w:t>
      </w:r>
      <w:r>
        <w:rPr>
          <w:rFonts w:ascii="Arial" w:cs="Arial" w:eastAsia="Arial" w:hAnsi="Arial"/>
          <w:sz w:val="18"/>
          <w:szCs w:val="18"/>
          <w:color w:val="4C4948"/>
        </w:rPr>
        <w:t>20</w:t>
      </w:r>
      <w:r>
        <w:rPr>
          <w:rFonts w:ascii="SimSun" w:cs="SimSun" w:eastAsia="SimSun" w:hAnsi="SimSun"/>
          <w:sz w:val="18"/>
          <w:szCs w:val="18"/>
          <w:color w:val="4C4948"/>
        </w:rPr>
        <w:t>人杰出校友奖</w:t>
      </w:r>
      <w:r>
        <w:rPr>
          <w:rFonts w:ascii="Arial" w:cs="Arial" w:eastAsia="Arial" w:hAnsi="Arial"/>
          <w:sz w:val="18"/>
          <w:szCs w:val="18"/>
          <w:color w:val="4C4948"/>
        </w:rPr>
        <w:t>”</w:t>
      </w:r>
      <w:r>
        <w:rPr>
          <w:rFonts w:ascii="SimSun" w:cs="SimSun" w:eastAsia="SimSun" w:hAnsi="SimSun"/>
          <w:sz w:val="18"/>
          <w:szCs w:val="18"/>
          <w:color w:val="4C4948"/>
        </w:rPr>
        <w:t>中欧国际工商学院获奖案例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-2879090</wp:posOffset>
                </wp:positionH>
                <wp:positionV relativeFrom="paragraph">
                  <wp:posOffset>870585</wp:posOffset>
                </wp:positionV>
                <wp:extent cx="597154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71540" cy="4763"/>
                        </a:xfrm>
                        <a:prstGeom prst="line">
                          <a:avLst/>
                        </a:prstGeom>
                        <a:solidFill>
                          <a:srgbClr val="FFFFFF"/>
                        </a:solidFill>
                        <a:ln w="17995">
                          <a:solidFill>
                            <a:srgbClr val="087887"/>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6999pt,68.55pt" to="243.5pt,68.55pt" o:allowincell="f" strokecolor="#087887" strokeweight="1.4169pt"/>
            </w:pict>
          </mc:Fallback>
        </mc:AlternateContent>
        <w:drawing>
          <wp:anchor simplePos="0" relativeHeight="251657728" behindDoc="1" locked="0" layoutInCell="0" allowOverlap="1">
            <wp:simplePos x="0" y="0"/>
            <wp:positionH relativeFrom="column">
              <wp:posOffset>-14605</wp:posOffset>
            </wp:positionH>
            <wp:positionV relativeFrom="paragraph">
              <wp:posOffset>83185</wp:posOffset>
            </wp:positionV>
            <wp:extent cx="2764790" cy="5238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extLst>
                    </a:blip>
                    <a:srcRect/>
                    <a:stretch>
                      <a:fillRect/>
                    </a:stretch>
                  </pic:blipFill>
                  <pic:spPr bwMode="auto">
                    <a:xfrm>
                      <a:off x="0" y="0"/>
                      <a:ext cx="2764790" cy="5238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040" w:space="720"/>
            <w:col w:w="5460"/>
          </w:cols>
          <w:pgMar w:left="780" w:top="244" w:right="9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240"/>
        <w:spacing w:after="0" w:line="340" w:lineRule="exact"/>
        <w:tabs>
          <w:tab w:leader="none" w:pos="1540" w:val="left"/>
        </w:tabs>
        <w:rPr>
          <w:sz w:val="20"/>
          <w:szCs w:val="20"/>
          <w:color w:val="auto"/>
        </w:rPr>
      </w:pPr>
      <w:r>
        <w:rPr>
          <w:rFonts w:ascii="SimSun" w:cs="SimSun" w:eastAsia="SimSun" w:hAnsi="SimSun"/>
          <w:sz w:val="28"/>
          <w:szCs w:val="28"/>
          <w:color w:val="087887"/>
        </w:rPr>
        <w:t>联系我们</w:t>
      </w:r>
      <w:r>
        <w:rPr>
          <w:sz w:val="20"/>
          <w:szCs w:val="20"/>
          <w:color w:val="auto"/>
        </w:rPr>
        <w:tab/>
      </w:r>
      <w:r>
        <w:rPr>
          <w:rFonts w:ascii="Arial" w:cs="Arial" w:eastAsia="Arial" w:hAnsi="Arial"/>
          <w:sz w:val="18"/>
          <w:szCs w:val="18"/>
          <w:color w:val="8D8D8D"/>
        </w:rPr>
        <w:t>CONTACT US</w:t>
      </w:r>
    </w:p>
    <w:p>
      <w:pPr>
        <w:spacing w:after="0" w:line="387" w:lineRule="exact"/>
        <w:rPr>
          <w:sz w:val="20"/>
          <w:szCs w:val="20"/>
          <w:color w:val="auto"/>
        </w:rPr>
      </w:pPr>
    </w:p>
    <w:p>
      <w:pPr>
        <w:ind w:left="240"/>
        <w:spacing w:after="0" w:line="251" w:lineRule="exact"/>
        <w:rPr>
          <w:sz w:val="20"/>
          <w:szCs w:val="20"/>
          <w:color w:val="auto"/>
        </w:rPr>
      </w:pPr>
      <w:r>
        <w:rPr>
          <w:rFonts w:ascii="SimSun" w:cs="SimSun" w:eastAsia="SimSun" w:hAnsi="SimSun"/>
          <w:sz w:val="22"/>
          <w:szCs w:val="22"/>
          <w:color w:val="221E1F"/>
        </w:rPr>
        <w:t>上海安越企业管理咨询有限公司</w:t>
      </w:r>
    </w:p>
    <w:p>
      <w:pPr>
        <w:spacing w:after="0" w:line="141" w:lineRule="exact"/>
        <w:rPr>
          <w:sz w:val="20"/>
          <w:szCs w:val="20"/>
          <w:color w:val="auto"/>
        </w:rPr>
      </w:pPr>
    </w:p>
    <w:p>
      <w:pPr>
        <w:ind w:left="240"/>
        <w:spacing w:after="0"/>
        <w:rPr>
          <w:sz w:val="20"/>
          <w:szCs w:val="20"/>
          <w:color w:val="auto"/>
        </w:rPr>
      </w:pPr>
      <w:r>
        <w:rPr>
          <w:rFonts w:ascii="Arial" w:cs="Arial" w:eastAsia="Arial" w:hAnsi="Arial"/>
          <w:sz w:val="16"/>
          <w:szCs w:val="16"/>
          <w:color w:val="221E1F"/>
        </w:rPr>
        <w:t>EASYFINANCE MANAGEMENT CONSULTING CO.,LTD</w:t>
      </w:r>
    </w:p>
    <w:p>
      <w:pPr>
        <w:spacing w:after="0" w:line="177" w:lineRule="exact"/>
        <w:rPr>
          <w:sz w:val="20"/>
          <w:szCs w:val="20"/>
          <w:color w:val="auto"/>
        </w:rPr>
      </w:pPr>
    </w:p>
    <w:p>
      <w:pPr>
        <w:jc w:val="center"/>
        <w:ind w:right="7840"/>
        <w:spacing w:after="0"/>
        <w:rPr>
          <w:sz w:val="20"/>
          <w:szCs w:val="20"/>
          <w:color w:val="auto"/>
        </w:rPr>
      </w:pPr>
      <w:r>
        <w:rPr>
          <w:rFonts w:ascii="Arial" w:cs="Arial" w:eastAsia="Arial" w:hAnsi="Arial"/>
          <w:sz w:val="16"/>
          <w:szCs w:val="16"/>
          <w:color w:val="231815"/>
        </w:rPr>
        <w:t>www.easyfinance.com.cn</w:t>
      </w:r>
    </w:p>
    <w:p>
      <w:pPr>
        <w:spacing w:after="0" w:line="103" w:lineRule="exact"/>
        <w:rPr>
          <w:sz w:val="20"/>
          <w:szCs w:val="20"/>
          <w:color w:val="auto"/>
        </w:rPr>
      </w:pPr>
    </w:p>
    <w:p>
      <w:pPr>
        <w:jc w:val="center"/>
        <w:ind w:right="7880"/>
        <w:spacing w:after="0" w:line="182" w:lineRule="exact"/>
        <w:rPr>
          <w:sz w:val="20"/>
          <w:szCs w:val="20"/>
          <w:color w:val="auto"/>
        </w:rPr>
      </w:pPr>
      <w:r>
        <w:rPr>
          <w:rFonts w:ascii="Arial" w:cs="Arial" w:eastAsia="Arial" w:hAnsi="Arial"/>
          <w:sz w:val="15"/>
          <w:szCs w:val="15"/>
          <w:color w:val="231815"/>
        </w:rPr>
        <w:t>Tel</w:t>
      </w:r>
      <w:r>
        <w:rPr>
          <w:rFonts w:ascii="SimSun" w:cs="SimSun" w:eastAsia="SimSun" w:hAnsi="SimSun"/>
          <w:sz w:val="15"/>
          <w:szCs w:val="15"/>
          <w:color w:val="231815"/>
        </w:rPr>
        <w:t>：</w:t>
      </w:r>
      <w:r>
        <w:rPr>
          <w:rFonts w:ascii="Arial" w:cs="Arial" w:eastAsia="Arial" w:hAnsi="Arial"/>
          <w:sz w:val="15"/>
          <w:szCs w:val="15"/>
          <w:color w:val="007E8F"/>
        </w:rPr>
        <w:t>+86 21 58362000-810</w:t>
      </w:r>
    </w:p>
    <w:p>
      <w:pPr>
        <w:spacing w:after="0" w:line="98" w:lineRule="exact"/>
        <w:rPr>
          <w:sz w:val="20"/>
          <w:szCs w:val="20"/>
          <w:color w:val="auto"/>
        </w:rPr>
      </w:pPr>
    </w:p>
    <w:p>
      <w:pPr>
        <w:jc w:val="center"/>
        <w:ind w:right="7800"/>
        <w:spacing w:after="0"/>
        <w:rPr>
          <w:sz w:val="20"/>
          <w:szCs w:val="20"/>
          <w:color w:val="auto"/>
        </w:rPr>
      </w:pPr>
      <w:r>
        <w:rPr>
          <w:rFonts w:ascii="Arial" w:cs="Arial" w:eastAsia="Arial" w:hAnsi="Arial"/>
          <w:sz w:val="16"/>
          <w:szCs w:val="16"/>
          <w:color w:val="007E8F"/>
        </w:rPr>
        <w:t>+86 15801919100</w:t>
      </w:r>
    </w:p>
    <w:p>
      <w:pPr>
        <w:spacing w:after="0" w:line="96" w:lineRule="exact"/>
        <w:rPr>
          <w:sz w:val="20"/>
          <w:szCs w:val="20"/>
          <w:color w:val="auto"/>
        </w:rPr>
      </w:pPr>
    </w:p>
    <w:p>
      <w:pPr>
        <w:ind w:left="240"/>
        <w:spacing w:after="0" w:line="194" w:lineRule="exact"/>
        <w:rPr>
          <w:sz w:val="20"/>
          <w:szCs w:val="20"/>
          <w:color w:val="auto"/>
        </w:rPr>
      </w:pPr>
      <w:r>
        <w:rPr>
          <w:rFonts w:ascii="Arial" w:cs="Arial" w:eastAsia="Arial" w:hAnsi="Arial"/>
          <w:sz w:val="16"/>
          <w:szCs w:val="16"/>
          <w:color w:val="231815"/>
        </w:rPr>
        <w:t>Mail</w:t>
      </w:r>
      <w:r>
        <w:rPr>
          <w:rFonts w:ascii="SimSun" w:cs="SimSun" w:eastAsia="SimSun" w:hAnsi="SimSun"/>
          <w:sz w:val="16"/>
          <w:szCs w:val="16"/>
          <w:color w:val="231815"/>
        </w:rPr>
        <w:t>：</w:t>
      </w:r>
      <w:r>
        <w:rPr>
          <w:rFonts w:ascii="Arial" w:cs="Arial" w:eastAsia="Arial" w:hAnsi="Arial"/>
          <w:sz w:val="16"/>
          <w:szCs w:val="16"/>
          <w:color w:val="231815"/>
        </w:rPr>
        <w:t>BD@EasyFinance.com.cn</w:t>
      </w:r>
    </w:p>
    <w:p>
      <w:pPr>
        <w:spacing w:after="0" w:line="86" w:lineRule="exact"/>
        <w:rPr>
          <w:sz w:val="20"/>
          <w:szCs w:val="20"/>
          <w:color w:val="auto"/>
        </w:rPr>
      </w:pPr>
    </w:p>
    <w:p>
      <w:pPr>
        <w:ind w:left="240"/>
        <w:spacing w:after="0" w:line="194" w:lineRule="exact"/>
        <w:rPr>
          <w:sz w:val="20"/>
          <w:szCs w:val="20"/>
          <w:color w:val="auto"/>
        </w:rPr>
      </w:pPr>
      <w:r>
        <w:rPr>
          <w:rFonts w:ascii="Arial" w:cs="Arial" w:eastAsia="Arial" w:hAnsi="Arial"/>
          <w:sz w:val="16"/>
          <w:szCs w:val="16"/>
          <w:color w:val="231815"/>
        </w:rPr>
        <w:t>Add</w:t>
      </w:r>
      <w:r>
        <w:rPr>
          <w:rFonts w:ascii="SimSun" w:cs="SimSun" w:eastAsia="SimSun" w:hAnsi="SimSun"/>
          <w:sz w:val="16"/>
          <w:szCs w:val="16"/>
          <w:color w:val="231815"/>
        </w:rPr>
        <w:t>：上海市浦东新区张杨路</w:t>
      </w:r>
      <w:r>
        <w:rPr>
          <w:rFonts w:ascii="Arial" w:cs="Arial" w:eastAsia="Arial" w:hAnsi="Arial"/>
          <w:sz w:val="16"/>
          <w:szCs w:val="16"/>
          <w:color w:val="231815"/>
        </w:rPr>
        <w:t>707</w:t>
      </w:r>
      <w:r>
        <w:rPr>
          <w:rFonts w:ascii="SimSun" w:cs="SimSun" w:eastAsia="SimSun" w:hAnsi="SimSun"/>
          <w:sz w:val="16"/>
          <w:szCs w:val="16"/>
          <w:color w:val="231815"/>
        </w:rPr>
        <w:t>号生命人寿大厦</w:t>
      </w:r>
      <w:r>
        <w:rPr>
          <w:rFonts w:ascii="Arial" w:cs="Arial" w:eastAsia="Arial" w:hAnsi="Arial"/>
          <w:sz w:val="16"/>
          <w:szCs w:val="16"/>
          <w:color w:val="231815"/>
        </w:rPr>
        <w:t>1208</w:t>
      </w:r>
      <w:r>
        <w:rPr>
          <w:rFonts w:ascii="SimSun" w:cs="SimSun" w:eastAsia="SimSun" w:hAnsi="SimSun"/>
          <w:sz w:val="16"/>
          <w:szCs w:val="16"/>
          <w:color w:val="231815"/>
        </w:rPr>
        <w:t>室</w:t>
      </w:r>
    </w:p>
    <w:p>
      <w:pPr>
        <w:spacing w:after="0" w:line="86" w:lineRule="exact"/>
        <w:rPr>
          <w:sz w:val="20"/>
          <w:szCs w:val="20"/>
          <w:color w:val="auto"/>
        </w:rPr>
      </w:pPr>
    </w:p>
    <w:p>
      <w:pPr>
        <w:ind w:left="240"/>
        <w:spacing w:after="0"/>
        <w:rPr>
          <w:sz w:val="20"/>
          <w:szCs w:val="20"/>
          <w:color w:val="auto"/>
        </w:rPr>
      </w:pPr>
      <w:r>
        <w:rPr>
          <w:rFonts w:ascii="Arial" w:cs="Arial" w:eastAsia="Arial" w:hAnsi="Arial"/>
          <w:sz w:val="16"/>
          <w:szCs w:val="16"/>
          <w:color w:val="231815"/>
        </w:rPr>
        <w:t>200120 Rm.1208,Sinolife Tower No.707 Zhangyang Rd.</w:t>
      </w:r>
    </w:p>
    <w:p>
      <w:pPr>
        <w:spacing w:after="0" w:line="96" w:lineRule="exact"/>
        <w:rPr>
          <w:sz w:val="20"/>
          <w:szCs w:val="20"/>
          <w:color w:val="auto"/>
        </w:rPr>
      </w:pPr>
    </w:p>
    <w:p>
      <w:pPr>
        <w:ind w:left="240"/>
        <w:spacing w:after="0"/>
        <w:rPr>
          <w:sz w:val="20"/>
          <w:szCs w:val="20"/>
          <w:color w:val="auto"/>
        </w:rPr>
      </w:pPr>
      <w:r>
        <w:rPr>
          <w:rFonts w:ascii="Arial" w:cs="Arial" w:eastAsia="Arial" w:hAnsi="Arial"/>
          <w:sz w:val="16"/>
          <w:szCs w:val="16"/>
          <w:color w:val="231815"/>
        </w:rPr>
        <w:t>Pudong.Shanghai China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151765</wp:posOffset>
            </wp:positionH>
            <wp:positionV relativeFrom="paragraph">
              <wp:posOffset>540385</wp:posOffset>
            </wp:positionV>
            <wp:extent cx="6304915" cy="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extLst>
                    </a:blip>
                    <a:srcRect/>
                    <a:stretch>
                      <a:fillRect/>
                    </a:stretch>
                  </pic:blipFill>
                  <pic:spPr bwMode="auto">
                    <a:xfrm>
                      <a:off x="0" y="0"/>
                      <a:ext cx="6304915" cy="6350"/>
                    </a:xfrm>
                    <a:prstGeom prst="rect">
                      <a:avLst/>
                    </a:prstGeom>
                    <a:noFill/>
                  </pic:spPr>
                </pic:pic>
              </a:graphicData>
            </a:graphic>
          </wp:anchor>
        </w:drawing>
      </w:r>
    </w:p>
    <w:p>
      <w:pPr>
        <w:sectPr>
          <w:pgSz w:w="11900" w:h="16838" w:orient="portrait"/>
          <w:cols w:equalWidth="0" w:num="1">
            <w:col w:w="10220"/>
          </w:cols>
          <w:pgMar w:left="780" w:top="244" w:right="9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140"/>
        <w:spacing w:after="0" w:line="267" w:lineRule="exact"/>
        <w:tabs>
          <w:tab w:leader="none" w:pos="4940" w:val="left"/>
          <w:tab w:leader="none" w:pos="8340" w:val="left"/>
        </w:tabs>
        <w:rPr>
          <w:sz w:val="20"/>
          <w:szCs w:val="20"/>
          <w:color w:val="auto"/>
        </w:rPr>
      </w:pPr>
      <w:r>
        <w:rPr>
          <w:rFonts w:ascii="SimSun" w:cs="SimSun" w:eastAsia="SimSun" w:hAnsi="SimSun"/>
          <w:sz w:val="22"/>
          <w:szCs w:val="22"/>
          <w:color w:val="323333"/>
        </w:rPr>
        <w:t>《</w:t>
      </w:r>
      <w:r>
        <w:rPr>
          <w:rFonts w:ascii="SimSun" w:cs="SimSun" w:eastAsia="SimSun" w:hAnsi="SimSun"/>
          <w:sz w:val="20"/>
          <w:szCs w:val="20"/>
          <w:color w:val="323333"/>
        </w:rPr>
        <w:t>非财务经理的财务课程</w:t>
      </w:r>
      <w:r>
        <w:rPr>
          <w:rFonts w:ascii="Arial" w:cs="Arial" w:eastAsia="Arial" w:hAnsi="Arial"/>
          <w:sz w:val="20"/>
          <w:szCs w:val="20"/>
          <w:color w:val="323333"/>
        </w:rPr>
        <w:t>(</w:t>
      </w:r>
      <w:r>
        <w:rPr>
          <w:rFonts w:ascii="SimSun" w:cs="SimSun" w:eastAsia="SimSun" w:hAnsi="SimSun"/>
          <w:sz w:val="20"/>
          <w:szCs w:val="20"/>
          <w:color w:val="323333"/>
        </w:rPr>
        <w:t>精要版</w:t>
      </w:r>
      <w:r>
        <w:rPr>
          <w:rFonts w:ascii="Arial" w:cs="Arial" w:eastAsia="Arial" w:hAnsi="Arial"/>
          <w:sz w:val="20"/>
          <w:szCs w:val="20"/>
          <w:color w:val="323333"/>
        </w:rPr>
        <w:t>)</w:t>
      </w:r>
      <w:r>
        <w:rPr>
          <w:rFonts w:ascii="SimSun" w:cs="SimSun" w:eastAsia="SimSun" w:hAnsi="SimSun"/>
          <w:sz w:val="22"/>
          <w:szCs w:val="22"/>
          <w:color w:val="323333"/>
        </w:rPr>
        <w:t>》</w:t>
      </w:r>
      <w:r>
        <w:rPr>
          <w:sz w:val="20"/>
          <w:szCs w:val="20"/>
          <w:color w:val="auto"/>
        </w:rPr>
        <w:tab/>
      </w:r>
      <w:r>
        <w:rPr>
          <w:rFonts w:ascii="Arial" w:cs="Arial" w:eastAsia="Arial" w:hAnsi="Arial"/>
          <w:sz w:val="20"/>
          <w:szCs w:val="20"/>
          <w:color w:val="231815"/>
        </w:rPr>
        <w:t>06</w:t>
      </w:r>
      <w:r>
        <w:rPr>
          <w:sz w:val="20"/>
          <w:szCs w:val="20"/>
          <w:color w:val="auto"/>
        </w:rPr>
        <w:tab/>
      </w:r>
      <w:r>
        <w:rPr>
          <w:rFonts w:ascii="SimSun" w:cs="SimSun" w:eastAsia="SimSun" w:hAnsi="SimSun"/>
          <w:sz w:val="21"/>
          <w:szCs w:val="21"/>
          <w:color w:val="323333"/>
        </w:rPr>
        <w:t>选择安越 因为专业</w:t>
      </w:r>
    </w:p>
    <w:sectPr>
      <w:pgSz w:w="11900" w:h="16838" w:orient="portrait"/>
      <w:cols w:equalWidth="0" w:num="1">
        <w:col w:w="10220"/>
      </w:cols>
      <w:pgMar w:left="780" w:top="244" w:right="90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panose1 w:val="02010600030101010101"/>
    <w:charset w:val="86"/>
    <w:family w:val="auto"/>
    <w:pitch w:val="variable"/>
    <w:sig w:usb0="00000003" w:usb1="288F0000" w:usb2="00000006" w:usb3="00000000" w:csb0="00040001"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81"/>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625558EC"/>
    <w:multiLevelType w:val="hybridMultilevel"/>
    <w:lvl w:ilvl="0">
      <w:lvlJc w:val="left"/>
      <w:lvlText w:val="■"/>
      <w:numFmt w:val="bullet"/>
      <w:start w:val="1"/>
    </w:lvl>
  </w:abstractNum>
  <w:abstractNum w:abstractNumId="1">
    <w:nsid w:val="238E1F29"/>
    <w:multiLevelType w:val="hybridMultilevel"/>
    <w:lvl w:ilvl="0">
      <w:lvlJc w:val="left"/>
      <w:lvlText w:val="•"/>
      <w:numFmt w:val="bullet"/>
      <w:start w:val="1"/>
    </w:lvl>
    <w:lvl w:ilvl="1">
      <w:lvlJc w:val="left"/>
      <w:lvlText w:val="-"/>
      <w:numFmt w:val="bullet"/>
      <w:start w:val="1"/>
    </w:lvl>
  </w:abstractNum>
  <w:abstractNum w:abstractNumId="2">
    <w:nsid w:val="46E87CCD"/>
    <w:multiLevelType w:val="hybridMultilevel"/>
    <w:lvl w:ilvl="0">
      <w:lvlJc w:val="left"/>
      <w:lvlText w:val="•"/>
      <w:numFmt w:val="bullet"/>
      <w:start w:val="1"/>
    </w:lvl>
    <w:lvl w:ilvl="1">
      <w:lvlJc w:val="left"/>
      <w:lvlText w:val="-"/>
      <w:numFmt w:val="bullet"/>
      <w:start w:val="1"/>
    </w:lvl>
    <w:lvl w:ilvl="2">
      <w:lvlJc w:val="left"/>
      <w:lvlText w:val="-"/>
      <w:numFmt w:val="bullet"/>
      <w:start w:val="1"/>
    </w:lvl>
  </w:abstractNum>
  <w:abstractNum w:abstractNumId="3">
    <w:nsid w:val="3D1B58BA"/>
    <w:multiLevelType w:val="hybridMultilevel"/>
    <w:lvl w:ilvl="0">
      <w:lvlJc w:val="left"/>
      <w:lvlText w:val="•"/>
      <w:numFmt w:val="bullet"/>
      <w:start w:val="1"/>
    </w:lvl>
    <w:lvl w:ilvl="1">
      <w:lvlJc w:val="left"/>
      <w:lvlText w:val="-"/>
      <w:numFmt w:val="bullet"/>
      <w:start w:val="1"/>
    </w:lvl>
    <w:lvl w:ilvl="2">
      <w:lvlJc w:val="left"/>
      <w:lvlText w:val="-"/>
      <w:numFmt w:val="bullet"/>
      <w:start w:val="1"/>
    </w:lvl>
    <w:lvl w:ilvl="3">
      <w:lvlJc w:val="left"/>
      <w:lvlText w:val="-"/>
      <w:numFmt w:val="bullet"/>
      <w:start w:val="1"/>
    </w:lvl>
  </w:abstractNum>
  <w:abstractNum w:abstractNumId="4">
    <w:nsid w:val="507ED7AB"/>
    <w:multiLevelType w:val="hybridMultilevel"/>
    <w:lvl w:ilvl="0">
      <w:lvlJc w:val="left"/>
      <w:lvlText w:val="•"/>
      <w:numFmt w:val="bullet"/>
      <w:start w:val="1"/>
    </w:lvl>
    <w:lvl w:ilvl="1">
      <w:lvlJc w:val="left"/>
      <w:lvlText w:val="-"/>
      <w:numFmt w:val="bullet"/>
      <w:start w:val="1"/>
    </w:lvl>
  </w:abstractNum>
  <w:abstractNum w:abstractNumId="5">
    <w:nsid w:val="2EB141F2"/>
    <w:multiLevelType w:val="hybridMultilevel"/>
    <w:lvl w:ilvl="0">
      <w:lvlJc w:val="left"/>
      <w:lvlText w:val="•"/>
      <w:numFmt w:val="bullet"/>
      <w:start w:val="1"/>
    </w:lvl>
    <w:lvl w:ilvl="1">
      <w:lvlJc w:val="left"/>
      <w:lvlText w:val="-"/>
      <w:numFmt w:val="bullet"/>
      <w:start w:val="1"/>
    </w:lvl>
  </w:abstractNum>
  <w:abstractNum w:abstractNumId="6">
    <w:nsid w:val="41B71EFB"/>
    <w:multiLevelType w:val="hybridMultilevel"/>
    <w:lvl w:ilvl="0">
      <w:lvlJc w:val="left"/>
      <w:lvlText w:val="•"/>
      <w:numFmt w:val="bullet"/>
      <w:start w:val="1"/>
    </w:lvl>
    <w:lvl w:ilvl="1">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2021-04-20T03:38:15Z</dcterms:created>
  <dcterms:modified xsi:type="dcterms:W3CDTF">2021-04-20T03:38:15Z</dcterms:modified>
</cp:coreProperties>
</file>