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ind w:right="240"/>
        <w:spacing w:after="0" w:line="317" w:lineRule="exact"/>
        <w:rPr>
          <w:sz w:val="20"/>
          <w:szCs w:val="20"/>
          <w:color w:val="auto"/>
        </w:rPr>
      </w:pPr>
      <w:r>
        <w:rPr>
          <w:rFonts w:ascii="Microsoft YaHei" w:cs="Microsoft YaHei" w:eastAsia="Microsoft YaHei" w:hAnsi="Microsoft YaHei"/>
          <w:sz w:val="24"/>
          <w:szCs w:val="24"/>
          <w:color w:val="7F7F7F"/>
        </w:rPr>
        <w:drawing>
          <wp:anchor simplePos="0" relativeHeight="251657728" behindDoc="1" locked="0" layoutInCell="0" allowOverlap="1">
            <wp:simplePos x="0" y="0"/>
            <wp:positionH relativeFrom="page">
              <wp:posOffset>364490</wp:posOffset>
            </wp:positionH>
            <wp:positionV relativeFrom="page">
              <wp:posOffset>464820</wp:posOffset>
            </wp:positionV>
            <wp:extent cx="1206500" cy="5060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06500" cy="506095"/>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page">
                  <wp:posOffset>6446520</wp:posOffset>
                </wp:positionH>
                <wp:positionV relativeFrom="page">
                  <wp:posOffset>464185</wp:posOffset>
                </wp:positionV>
                <wp:extent cx="0" cy="50609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6095"/>
                        </a:xfrm>
                        <a:prstGeom prst="line">
                          <a:avLst/>
                        </a:prstGeom>
                        <a:solidFill>
                          <a:srgbClr val="FFFFFF"/>
                        </a:solidFill>
                        <a:ln w="45720">
                          <a:solidFill>
                            <a:srgbClr val="08788C"/>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7.6pt,36.55pt" to="507.6pt,76.4pt" o:allowincell="f" strokecolor="#08788C" strokeweight="3.6pt">
                <w10:wrap anchorx="page" anchory="page"/>
              </v:line>
            </w:pict>
          </mc:Fallback>
        </mc:AlternateContent>
        <w:t>深耕欧美管理会计理念聚</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857885</wp:posOffset>
            </wp:positionH>
            <wp:positionV relativeFrom="paragraph">
              <wp:posOffset>-173355</wp:posOffset>
            </wp:positionV>
            <wp:extent cx="127635" cy="132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127635" cy="132715"/>
                    </a:xfrm>
                    <a:prstGeom prst="rect">
                      <a:avLst/>
                    </a:prstGeom>
                    <a:noFill/>
                  </pic:spPr>
                </pic:pic>
              </a:graphicData>
            </a:graphic>
          </wp:anchor>
        </w:drawing>
      </w:r>
    </w:p>
    <w:p>
      <w:pPr>
        <w:spacing w:after="0" w:line="71" w:lineRule="exact"/>
        <w:rPr>
          <w:sz w:val="24"/>
          <w:szCs w:val="24"/>
          <w:color w:val="auto"/>
        </w:rPr>
      </w:pPr>
    </w:p>
    <w:p>
      <w:pPr>
        <w:jc w:val="right"/>
        <w:ind w:right="240"/>
        <w:spacing w:after="0" w:line="317" w:lineRule="exact"/>
        <w:rPr>
          <w:sz w:val="20"/>
          <w:szCs w:val="20"/>
          <w:color w:val="auto"/>
        </w:rPr>
      </w:pPr>
      <w:r>
        <w:rPr>
          <w:rFonts w:ascii="Microsoft YaHei" w:cs="Microsoft YaHei" w:eastAsia="Microsoft YaHei" w:hAnsi="Microsoft YaHei"/>
          <w:sz w:val="24"/>
          <w:szCs w:val="24"/>
          <w:color w:val="7F7F7F"/>
        </w:rPr>
        <w:t>焦中国企业实践十七年</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0" w:lineRule="exact"/>
        <w:rPr>
          <w:sz w:val="24"/>
          <w:szCs w:val="24"/>
          <w:color w:val="auto"/>
        </w:rPr>
      </w:pPr>
    </w:p>
    <w:p>
      <w:pPr>
        <w:jc w:val="center"/>
        <w:ind w:right="500"/>
        <w:spacing w:after="0" w:line="731" w:lineRule="exact"/>
        <w:rPr>
          <w:sz w:val="20"/>
          <w:szCs w:val="20"/>
          <w:color w:val="auto"/>
        </w:rPr>
      </w:pPr>
      <w:r>
        <w:rPr>
          <w:rFonts w:ascii="SimSun" w:cs="SimSun" w:eastAsia="SimSun" w:hAnsi="SimSun"/>
          <w:sz w:val="64"/>
          <w:szCs w:val="64"/>
          <w:color w:val="08788C"/>
        </w:rPr>
        <w:t>股权投资与并购的投后管理</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1" w:lineRule="exact"/>
        <w:rPr>
          <w:sz w:val="24"/>
          <w:szCs w:val="24"/>
          <w:color w:val="auto"/>
        </w:rPr>
      </w:pPr>
    </w:p>
    <w:p>
      <w:pPr>
        <w:ind w:left="1840"/>
        <w:spacing w:after="0"/>
        <w:rPr>
          <w:sz w:val="20"/>
          <w:szCs w:val="20"/>
          <w:color w:val="auto"/>
        </w:rPr>
      </w:pPr>
      <w:r>
        <w:rPr>
          <w:rFonts w:ascii="Calibri" w:cs="Calibri" w:eastAsia="Calibri" w:hAnsi="Calibri"/>
          <w:sz w:val="36"/>
          <w:szCs w:val="36"/>
          <w:color w:val="7F7F7F"/>
        </w:rPr>
        <w:t>Post-M&amp;A Management Practice</w:t>
      </w:r>
    </w:p>
    <w:p>
      <w:pPr>
        <w:spacing w:after="0" w:line="200" w:lineRule="exact"/>
        <w:rPr>
          <w:sz w:val="24"/>
          <w:szCs w:val="24"/>
          <w:color w:val="auto"/>
        </w:rPr>
      </w:pPr>
    </w:p>
    <w:p>
      <w:pPr>
        <w:spacing w:after="0" w:line="230" w:lineRule="exact"/>
        <w:rPr>
          <w:sz w:val="24"/>
          <w:szCs w:val="24"/>
          <w:color w:val="auto"/>
        </w:rPr>
      </w:pPr>
    </w:p>
    <w:p>
      <w:pPr>
        <w:jc w:val="center"/>
        <w:ind w:right="480"/>
        <w:spacing w:after="0" w:line="458" w:lineRule="exact"/>
        <w:rPr>
          <w:sz w:val="20"/>
          <w:szCs w:val="20"/>
          <w:color w:val="auto"/>
        </w:rPr>
      </w:pPr>
      <w:r>
        <w:rPr>
          <w:rFonts w:ascii="Microsoft YaHei" w:cs="Microsoft YaHei" w:eastAsia="Microsoft YaHei" w:hAnsi="Microsoft YaHei"/>
          <w:sz w:val="28"/>
          <w:szCs w:val="28"/>
          <w:color w:val="A6A6A6"/>
        </w:rPr>
        <w:t>投后管理</w:t>
      </w:r>
      <w:r>
        <w:rPr>
          <w:rFonts w:ascii="Century Gothic" w:cs="Century Gothic" w:eastAsia="Century Gothic" w:hAnsi="Century Gothic"/>
          <w:sz w:val="28"/>
          <w:szCs w:val="28"/>
          <w:color w:val="A6A6A6"/>
        </w:rPr>
        <w:t>——</w:t>
      </w:r>
      <w:r>
        <w:rPr>
          <w:rFonts w:ascii="Microsoft YaHei" w:cs="Microsoft YaHei" w:eastAsia="Microsoft YaHei" w:hAnsi="Microsoft YaHei"/>
          <w:sz w:val="28"/>
          <w:szCs w:val="28"/>
          <w:color w:val="A6A6A6"/>
        </w:rPr>
        <w:t>影响并购成败的关键要素掌握投后管理的工具和方法系统防范投后风险实现并购协同效应</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-735965</wp:posOffset>
            </wp:positionH>
            <wp:positionV relativeFrom="paragraph">
              <wp:posOffset>273685</wp:posOffset>
            </wp:positionV>
            <wp:extent cx="6858000" cy="37350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extLst>
                    </a:blip>
                    <a:srcRect/>
                    <a:stretch>
                      <a:fillRect/>
                    </a:stretch>
                  </pic:blipFill>
                  <pic:spPr bwMode="auto">
                    <a:xfrm>
                      <a:off x="0" y="0"/>
                      <a:ext cx="6858000" cy="373507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4" w:lineRule="exact"/>
        <w:rPr>
          <w:sz w:val="24"/>
          <w:szCs w:val="24"/>
          <w:color w:val="auto"/>
        </w:rPr>
      </w:pPr>
    </w:p>
    <w:p>
      <w:pPr>
        <w:ind w:left="6380"/>
        <w:spacing w:after="0" w:line="908" w:lineRule="exact"/>
        <w:rPr>
          <w:sz w:val="20"/>
          <w:szCs w:val="20"/>
          <w:color w:val="auto"/>
        </w:rPr>
      </w:pPr>
      <w:r>
        <w:rPr>
          <w:sz w:val="1"/>
          <w:szCs w:val="1"/>
          <w:color w:val="auto"/>
        </w:rPr>
        <w:drawing>
          <wp:inline distT="0" distB="0" distL="0" distR="0">
            <wp:extent cx="12065" cy="518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extLst>
                    </a:blip>
                    <a:srcRect/>
                    <a:stretch>
                      <a:fillRect/>
                    </a:stretch>
                  </pic:blipFill>
                  <pic:spPr bwMode="auto">
                    <a:xfrm>
                      <a:off x="0" y="0"/>
                      <a:ext cx="12065" cy="518160"/>
                    </a:xfrm>
                    <a:prstGeom prst="rect">
                      <a:avLst/>
                    </a:prstGeom>
                    <a:noFill/>
                    <a:ln>
                      <a:noFill/>
                    </a:ln>
                  </pic:spPr>
                </pic:pic>
              </a:graphicData>
            </a:graphic>
          </wp:inline>
        </w:drawing>
        <w:drawing>
          <wp:inline distT="0" distB="0" distL="0" distR="0">
            <wp:extent cx="38100" cy="4356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38100" cy="435610"/>
                    </a:xfrm>
                    <a:prstGeom prst="rect">
                      <a:avLst/>
                    </a:prstGeom>
                    <a:noFill/>
                    <a:ln>
                      <a:noFill/>
                    </a:ln>
                  </pic:spPr>
                </pic:pic>
              </a:graphicData>
            </a:graphic>
          </wp:inline>
        </w:drawing>
      </w:r>
      <w:r>
        <w:rPr>
          <w:rFonts w:ascii="Microsoft JhengHei UI Light" w:cs="Microsoft JhengHei UI Light" w:eastAsia="Microsoft JhengHei UI Light" w:hAnsi="Microsoft JhengHei UI Light"/>
          <w:sz w:val="36"/>
          <w:szCs w:val="36"/>
          <w:color w:val="08788C"/>
        </w:rPr>
        <w:t xml:space="preserve"> 精英小班 </w:t>
      </w:r>
      <w:r>
        <w:rPr>
          <w:sz w:val="1"/>
          <w:szCs w:val="1"/>
          <w:color w:val="auto"/>
        </w:rPr>
        <w:drawing>
          <wp:inline distT="0" distB="0" distL="0" distR="0">
            <wp:extent cx="38100" cy="4356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extLst>
                    </a:blip>
                    <a:srcRect/>
                    <a:stretch>
                      <a:fillRect/>
                    </a:stretch>
                  </pic:blipFill>
                  <pic:spPr bwMode="auto">
                    <a:xfrm>
                      <a:off x="0" y="0"/>
                      <a:ext cx="38100" cy="435610"/>
                    </a:xfrm>
                    <a:prstGeom prst="rect">
                      <a:avLst/>
                    </a:prstGeom>
                    <a:noFill/>
                    <a:ln>
                      <a:noFill/>
                    </a:ln>
                  </pic:spPr>
                </pic:pic>
              </a:graphicData>
            </a:graphic>
          </wp:inline>
        </w:drawing>
        <w:drawing>
          <wp:inline distT="0" distB="0" distL="0" distR="0">
            <wp:extent cx="12065" cy="51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extLst>
                    </a:blip>
                    <a:srcRect/>
                    <a:stretch>
                      <a:fillRect/>
                    </a:stretch>
                  </pic:blipFill>
                  <pic:spPr bwMode="auto">
                    <a:xfrm>
                      <a:off x="0" y="0"/>
                      <a:ext cx="12065" cy="518160"/>
                    </a:xfrm>
                    <a:prstGeom prst="rect">
                      <a:avLst/>
                    </a:prstGeom>
                    <a:noFill/>
                    <a:ln>
                      <a:noFill/>
                    </a:ln>
                  </pic:spPr>
                </pic:pic>
              </a:graphicData>
            </a:graphic>
          </wp:inline>
        </w:drawing>
      </w:r>
    </w:p>
    <w:p>
      <w:pPr>
        <w:spacing w:after="0" w:line="411" w:lineRule="exact"/>
        <w:rPr>
          <w:sz w:val="20"/>
          <w:szCs w:val="20"/>
          <w:color w:val="auto"/>
        </w:rPr>
      </w:pPr>
      <w:r>
        <w:rPr>
          <w:rFonts w:ascii="Microsoft YaHei" w:cs="Microsoft YaHei" w:eastAsia="Microsoft YaHei" w:hAnsi="Microsoft YaHei"/>
          <w:sz w:val="32"/>
          <w:szCs w:val="32"/>
          <w:color w:val="FFFFFF"/>
        </w:rPr>
        <w:t>安越管理会计学院五大优势：</w:t>
      </w:r>
    </w:p>
    <w:p>
      <w:pPr>
        <w:spacing w:after="0" w:line="395" w:lineRule="exact"/>
        <w:rPr>
          <w:sz w:val="24"/>
          <w:szCs w:val="24"/>
          <w:color w:val="auto"/>
        </w:rPr>
      </w:pPr>
    </w:p>
    <w:tbl>
      <w:tblPr>
        <w:tblLayout w:type="fixed"/>
        <w:tblInd w:w="200" w:type="dxa"/>
        <w:tblCellMar>
          <w:top w:w="0" w:type="dxa"/>
          <w:left w:w="0" w:type="dxa"/>
          <w:bottom w:w="0" w:type="dxa"/>
          <w:right w:w="0" w:type="dxa"/>
        </w:tblCellMar>
      </w:tblPr>
      <w:tr>
        <w:trPr>
          <w:trHeight w:val="107"/>
        </w:trPr>
        <w:tc>
          <w:tcPr>
            <w:tcW w:w="3080" w:type="dxa"/>
            <w:vAlign w:val="bottom"/>
            <w:vMerge w:val="restart"/>
          </w:tcPr>
          <w:p>
            <w:pPr>
              <w:spacing w:after="0" w:line="305" w:lineRule="exact"/>
              <w:rPr>
                <w:sz w:val="20"/>
                <w:szCs w:val="20"/>
                <w:color w:val="auto"/>
              </w:rPr>
            </w:pPr>
            <w:r>
              <w:rPr>
                <w:rFonts w:ascii="Microsoft JhengHei UI Light" w:cs="Microsoft JhengHei UI Light" w:eastAsia="Microsoft JhengHei UI Light" w:hAnsi="Microsoft JhengHei UI Light"/>
                <w:sz w:val="24"/>
                <w:szCs w:val="24"/>
                <w:color w:val="FFFFFF"/>
              </w:rPr>
              <w:t>国内首家管理会计学院</w:t>
            </w:r>
          </w:p>
        </w:tc>
        <w:tc>
          <w:tcPr>
            <w:tcW w:w="120" w:type="dxa"/>
            <w:vAlign w:val="bottom"/>
          </w:tcPr>
          <w:p>
            <w:pPr>
              <w:spacing w:after="0"/>
              <w:rPr>
                <w:sz w:val="9"/>
                <w:szCs w:val="9"/>
                <w:color w:val="auto"/>
              </w:rPr>
            </w:pPr>
          </w:p>
        </w:tc>
        <w:tc>
          <w:tcPr>
            <w:tcW w:w="2720" w:type="dxa"/>
            <w:vAlign w:val="bottom"/>
            <w:vMerge w:val="restart"/>
          </w:tcPr>
          <w:p>
            <w:pPr>
              <w:ind w:left="120"/>
              <w:spacing w:after="0" w:line="305" w:lineRule="exact"/>
              <w:rPr>
                <w:sz w:val="20"/>
                <w:szCs w:val="20"/>
                <w:color w:val="auto"/>
              </w:rPr>
            </w:pPr>
            <w:r>
              <w:rPr>
                <w:rFonts w:ascii="Microsoft JhengHei UI Light" w:cs="Microsoft JhengHei UI Light" w:eastAsia="Microsoft JhengHei UI Light" w:hAnsi="Microsoft JhengHei UI Light"/>
                <w:sz w:val="24"/>
                <w:szCs w:val="24"/>
                <w:color w:val="FFFFFF"/>
              </w:rPr>
              <w:t>聚焦本土最佳实践</w:t>
            </w:r>
          </w:p>
        </w:tc>
        <w:tc>
          <w:tcPr>
            <w:tcW w:w="100" w:type="dxa"/>
            <w:vAlign w:val="bottom"/>
          </w:tcPr>
          <w:p>
            <w:pPr>
              <w:spacing w:after="0"/>
              <w:rPr>
                <w:sz w:val="9"/>
                <w:szCs w:val="9"/>
                <w:color w:val="auto"/>
              </w:rPr>
            </w:pPr>
          </w:p>
        </w:tc>
        <w:tc>
          <w:tcPr>
            <w:tcW w:w="2760" w:type="dxa"/>
            <w:vAlign w:val="bottom"/>
            <w:vMerge w:val="restart"/>
          </w:tcPr>
          <w:p>
            <w:pPr>
              <w:ind w:left="120"/>
              <w:spacing w:after="0" w:line="305" w:lineRule="exact"/>
              <w:rPr>
                <w:sz w:val="20"/>
                <w:szCs w:val="20"/>
                <w:color w:val="auto"/>
              </w:rPr>
            </w:pPr>
            <w:r>
              <w:rPr>
                <w:rFonts w:ascii="Microsoft JhengHei UI Light" w:cs="Microsoft JhengHei UI Light" w:eastAsia="Microsoft JhengHei UI Light" w:hAnsi="Microsoft JhengHei UI Light"/>
                <w:sz w:val="24"/>
                <w:szCs w:val="24"/>
                <w:color w:val="FFFFFF"/>
                <w:w w:val="99"/>
              </w:rPr>
              <w:t>全面实用的管理会计体系</w:t>
            </w:r>
          </w:p>
        </w:tc>
        <w:tc>
          <w:tcPr>
            <w:tcW w:w="0" w:type="dxa"/>
            <w:vAlign w:val="bottom"/>
          </w:tcPr>
          <w:p>
            <w:pPr>
              <w:spacing w:after="0"/>
              <w:rPr>
                <w:sz w:val="1"/>
                <w:szCs w:val="1"/>
                <w:color w:val="auto"/>
              </w:rPr>
            </w:pPr>
          </w:p>
        </w:tc>
      </w:tr>
      <w:tr>
        <w:trPr>
          <w:trHeight w:val="108"/>
        </w:trPr>
        <w:tc>
          <w:tcPr>
            <w:tcW w:w="3080" w:type="dxa"/>
            <w:vAlign w:val="bottom"/>
            <w:vMerge w:val="continue"/>
          </w:tcPr>
          <w:p>
            <w:pPr>
              <w:spacing w:after="0"/>
              <w:rPr>
                <w:sz w:val="9"/>
                <w:szCs w:val="9"/>
                <w:color w:val="auto"/>
              </w:rPr>
            </w:pPr>
          </w:p>
        </w:tc>
        <w:tc>
          <w:tcPr>
            <w:tcW w:w="120" w:type="dxa"/>
            <w:vAlign w:val="bottom"/>
            <w:shd w:val="clear" w:color="auto" w:fill="94C1C9"/>
          </w:tcPr>
          <w:p>
            <w:pPr>
              <w:spacing w:after="0"/>
              <w:rPr>
                <w:sz w:val="9"/>
                <w:szCs w:val="9"/>
                <w:color w:val="auto"/>
              </w:rPr>
            </w:pPr>
          </w:p>
        </w:tc>
        <w:tc>
          <w:tcPr>
            <w:tcW w:w="2720" w:type="dxa"/>
            <w:vAlign w:val="bottom"/>
            <w:vMerge w:val="continue"/>
          </w:tcPr>
          <w:p>
            <w:pPr>
              <w:spacing w:after="0"/>
              <w:rPr>
                <w:sz w:val="9"/>
                <w:szCs w:val="9"/>
                <w:color w:val="auto"/>
              </w:rPr>
            </w:pPr>
          </w:p>
        </w:tc>
        <w:tc>
          <w:tcPr>
            <w:tcW w:w="100" w:type="dxa"/>
            <w:vAlign w:val="bottom"/>
            <w:shd w:val="clear" w:color="auto" w:fill="94C1C9"/>
          </w:tcPr>
          <w:p>
            <w:pPr>
              <w:spacing w:after="0"/>
              <w:rPr>
                <w:sz w:val="9"/>
                <w:szCs w:val="9"/>
                <w:color w:val="auto"/>
              </w:rPr>
            </w:pPr>
          </w:p>
        </w:tc>
        <w:tc>
          <w:tcPr>
            <w:tcW w:w="27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308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2720" w:type="dxa"/>
            <w:vAlign w:val="bottom"/>
            <w:vMerge w:val="continue"/>
          </w:tcPr>
          <w:p>
            <w:pPr>
              <w:spacing w:after="0"/>
              <w:rPr>
                <w:sz w:val="7"/>
                <w:szCs w:val="7"/>
                <w:color w:val="auto"/>
              </w:rPr>
            </w:pPr>
          </w:p>
        </w:tc>
        <w:tc>
          <w:tcPr>
            <w:tcW w:w="100" w:type="dxa"/>
            <w:vAlign w:val="bottom"/>
          </w:tcPr>
          <w:p>
            <w:pPr>
              <w:spacing w:after="0"/>
              <w:rPr>
                <w:sz w:val="7"/>
                <w:szCs w:val="7"/>
                <w:color w:val="auto"/>
              </w:rPr>
            </w:pPr>
          </w:p>
        </w:tc>
        <w:tc>
          <w:tcPr>
            <w:tcW w:w="27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37"/>
        </w:trPr>
        <w:tc>
          <w:tcPr>
            <w:tcW w:w="3080" w:type="dxa"/>
            <w:vAlign w:val="bottom"/>
            <w:vMerge w:val="restart"/>
          </w:tcPr>
          <w:p>
            <w:pPr>
              <w:spacing w:after="0" w:line="305" w:lineRule="exact"/>
              <w:rPr>
                <w:sz w:val="20"/>
                <w:szCs w:val="20"/>
                <w:color w:val="auto"/>
              </w:rPr>
            </w:pPr>
            <w:r>
              <w:rPr>
                <w:rFonts w:ascii="Microsoft JhengHei UI Light" w:cs="Microsoft JhengHei UI Light" w:eastAsia="Microsoft JhengHei UI Light" w:hAnsi="Microsoft JhengHei UI Light"/>
                <w:sz w:val="24"/>
                <w:szCs w:val="24"/>
                <w:color w:val="FFFFFF"/>
              </w:rPr>
              <w:t>精英小班学习社交平台</w:t>
            </w:r>
          </w:p>
        </w:tc>
        <w:tc>
          <w:tcPr>
            <w:tcW w:w="120" w:type="dxa"/>
            <w:vAlign w:val="bottom"/>
          </w:tcPr>
          <w:p>
            <w:pPr>
              <w:spacing w:after="0"/>
              <w:rPr>
                <w:sz w:val="20"/>
                <w:szCs w:val="20"/>
                <w:color w:val="auto"/>
              </w:rPr>
            </w:pPr>
          </w:p>
        </w:tc>
        <w:tc>
          <w:tcPr>
            <w:tcW w:w="2720" w:type="dxa"/>
            <w:vAlign w:val="bottom"/>
            <w:vMerge w:val="restart"/>
          </w:tcPr>
          <w:p>
            <w:pPr>
              <w:ind w:left="120"/>
              <w:spacing w:after="0" w:line="305" w:lineRule="exact"/>
              <w:rPr>
                <w:sz w:val="20"/>
                <w:szCs w:val="20"/>
                <w:color w:val="auto"/>
              </w:rPr>
            </w:pPr>
            <w:r>
              <w:rPr>
                <w:rFonts w:ascii="Microsoft JhengHei UI Light" w:cs="Microsoft JhengHei UI Light" w:eastAsia="Microsoft JhengHei UI Light" w:hAnsi="Microsoft JhengHei UI Light"/>
                <w:sz w:val="24"/>
                <w:szCs w:val="24"/>
                <w:color w:val="FFFFFF"/>
              </w:rPr>
              <w:t>务实的合伙人讲师团队</w:t>
            </w:r>
          </w:p>
        </w:tc>
        <w:tc>
          <w:tcPr>
            <w:tcW w:w="100" w:type="dxa"/>
            <w:vAlign w:val="bottom"/>
          </w:tcPr>
          <w:p>
            <w:pPr>
              <w:spacing w:after="0"/>
              <w:rPr>
                <w:sz w:val="20"/>
                <w:szCs w:val="20"/>
                <w:color w:val="auto"/>
              </w:rPr>
            </w:pPr>
          </w:p>
        </w:tc>
        <w:tc>
          <w:tcPr>
            <w:tcW w:w="2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3080" w:type="dxa"/>
            <w:vAlign w:val="bottom"/>
            <w:vMerge w:val="continue"/>
          </w:tcPr>
          <w:p>
            <w:pPr>
              <w:spacing w:after="0"/>
              <w:rPr>
                <w:sz w:val="9"/>
                <w:szCs w:val="9"/>
                <w:color w:val="auto"/>
              </w:rPr>
            </w:pPr>
          </w:p>
        </w:tc>
        <w:tc>
          <w:tcPr>
            <w:tcW w:w="120" w:type="dxa"/>
            <w:vAlign w:val="bottom"/>
            <w:shd w:val="clear" w:color="auto" w:fill="94C1C9"/>
          </w:tcPr>
          <w:p>
            <w:pPr>
              <w:spacing w:after="0"/>
              <w:rPr>
                <w:sz w:val="9"/>
                <w:szCs w:val="9"/>
                <w:color w:val="auto"/>
              </w:rPr>
            </w:pPr>
          </w:p>
        </w:tc>
        <w:tc>
          <w:tcPr>
            <w:tcW w:w="272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27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7"/>
        </w:trPr>
        <w:tc>
          <w:tcPr>
            <w:tcW w:w="308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2720" w:type="dxa"/>
            <w:vAlign w:val="bottom"/>
            <w:vMerge w:val="continue"/>
          </w:tcPr>
          <w:p>
            <w:pPr>
              <w:spacing w:after="0"/>
              <w:rPr>
                <w:sz w:val="7"/>
                <w:szCs w:val="7"/>
                <w:color w:val="auto"/>
              </w:rPr>
            </w:pPr>
          </w:p>
        </w:tc>
        <w:tc>
          <w:tcPr>
            <w:tcW w:w="100" w:type="dxa"/>
            <w:vAlign w:val="bottom"/>
          </w:tcPr>
          <w:p>
            <w:pPr>
              <w:spacing w:after="0"/>
              <w:rPr>
                <w:sz w:val="7"/>
                <w:szCs w:val="7"/>
                <w:color w:val="auto"/>
              </w:rPr>
            </w:pPr>
          </w:p>
        </w:tc>
        <w:tc>
          <w:tcPr>
            <w:tcW w:w="2760" w:type="dxa"/>
            <w:vAlign w:val="bottom"/>
          </w:tcPr>
          <w:p>
            <w:pPr>
              <w:spacing w:after="0"/>
              <w:rPr>
                <w:sz w:val="7"/>
                <w:szCs w:val="7"/>
                <w:color w:val="auto"/>
              </w:rPr>
            </w:pPr>
          </w:p>
        </w:tc>
        <w:tc>
          <w:tcPr>
            <w:tcW w:w="0" w:type="dxa"/>
            <w:vAlign w:val="bottom"/>
          </w:tcPr>
          <w:p>
            <w:pPr>
              <w:spacing w:after="0"/>
              <w:rPr>
                <w:sz w:val="1"/>
                <w:szCs w:val="1"/>
                <w:color w:val="auto"/>
              </w:rPr>
            </w:pPr>
          </w:p>
        </w:tc>
      </w:tr>
    </w:tbl>
    <w:p>
      <w:pPr>
        <w:sectPr>
          <w:pgSz w:w="10800" w:h="15600" w:orient="portrait"/>
          <w:cols w:equalWidth="0" w:num="1">
            <w:col w:w="8980"/>
          </w:cols>
          <w:pgMar w:left="1160" w:top="761" w:right="660" w:bottom="1440" w:gutter="0" w:footer="0" w:header="0"/>
        </w:sectPr>
      </w:pPr>
    </w:p>
    <w:bookmarkStart w:id="1" w:name="page2"/>
    <w:bookmarkEnd w:id="1"/>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5513705</wp:posOffset>
            </wp:positionH>
            <wp:positionV relativeFrom="page">
              <wp:posOffset>259080</wp:posOffset>
            </wp:positionV>
            <wp:extent cx="932815" cy="10515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extLst>
                    </a:blip>
                    <a:srcRect/>
                    <a:stretch>
                      <a:fillRect/>
                    </a:stretch>
                  </pic:blipFill>
                  <pic:spPr bwMode="auto">
                    <a:xfrm>
                      <a:off x="0" y="0"/>
                      <a:ext cx="932815" cy="1051560"/>
                    </a:xfrm>
                    <a:prstGeom prst="rect">
                      <a:avLst/>
                    </a:prstGeom>
                    <a:noFill/>
                  </pic:spPr>
                </pic:pic>
              </a:graphicData>
            </a:graphic>
          </wp:anchor>
        </w:drawing>
      </w:r>
    </w:p>
    <w:tbl>
      <w:tblPr>
        <w:tblLayout w:type="fixed"/>
        <w:tblInd w:w="660" w:type="dxa"/>
        <w:tblCellMar>
          <w:top w:w="0" w:type="dxa"/>
          <w:left w:w="0" w:type="dxa"/>
          <w:bottom w:w="0" w:type="dxa"/>
          <w:right w:w="0" w:type="dxa"/>
        </w:tblCellMar>
      </w:tblPr>
      <w:tr>
        <w:trPr>
          <w:trHeight w:val="317"/>
        </w:trPr>
        <w:tc>
          <w:tcPr>
            <w:tcW w:w="7160" w:type="dxa"/>
            <w:vAlign w:val="bottom"/>
            <w:vMerge w:val="restart"/>
          </w:tcPr>
          <w:p>
            <w:pPr>
              <w:spacing w:after="0" w:line="476" w:lineRule="exact"/>
              <w:rPr>
                <w:sz w:val="20"/>
                <w:szCs w:val="20"/>
                <w:color w:val="auto"/>
              </w:rPr>
            </w:pPr>
            <w:r>
              <w:rPr>
                <w:rFonts w:ascii="Microsoft YaHei" w:cs="Microsoft YaHei" w:eastAsia="Microsoft YaHei" w:hAnsi="Microsoft YaHei"/>
                <w:sz w:val="36"/>
                <w:szCs w:val="36"/>
                <w:color w:val="08788C"/>
              </w:rPr>
              <w:t>从战略，文化，人力，财务，经营等方面</w:t>
            </w:r>
          </w:p>
        </w:tc>
        <w:tc>
          <w:tcPr>
            <w:tcW w:w="1740" w:type="dxa"/>
            <w:vAlign w:val="bottom"/>
          </w:tcPr>
          <w:p>
            <w:pPr>
              <w:jc w:val="center"/>
              <w:ind w:left="520"/>
              <w:spacing w:after="0" w:line="317" w:lineRule="exact"/>
              <w:rPr>
                <w:sz w:val="20"/>
                <w:szCs w:val="20"/>
                <w:color w:val="auto"/>
              </w:rPr>
            </w:pPr>
            <w:r>
              <w:rPr>
                <w:rFonts w:ascii="Microsoft YaHei" w:cs="Microsoft YaHei" w:eastAsia="Microsoft YaHei" w:hAnsi="Microsoft YaHei"/>
                <w:sz w:val="24"/>
                <w:szCs w:val="24"/>
                <w:color w:val="08788C"/>
              </w:rPr>
              <w:t>课程时间</w:t>
            </w:r>
          </w:p>
        </w:tc>
        <w:tc>
          <w:tcPr>
            <w:tcW w:w="0" w:type="dxa"/>
            <w:vAlign w:val="bottom"/>
          </w:tcPr>
          <w:p>
            <w:pPr>
              <w:spacing w:after="0"/>
              <w:rPr>
                <w:sz w:val="1"/>
                <w:szCs w:val="1"/>
                <w:color w:val="auto"/>
              </w:rPr>
            </w:pPr>
          </w:p>
        </w:tc>
      </w:tr>
      <w:tr>
        <w:trPr>
          <w:trHeight w:val="316"/>
        </w:trPr>
        <w:tc>
          <w:tcPr>
            <w:tcW w:w="7160" w:type="dxa"/>
            <w:vAlign w:val="bottom"/>
            <w:vMerge w:val="continue"/>
          </w:tcPr>
          <w:p>
            <w:pPr>
              <w:spacing w:after="0"/>
              <w:rPr>
                <w:sz w:val="24"/>
                <w:szCs w:val="24"/>
                <w:color w:val="auto"/>
              </w:rPr>
            </w:pPr>
          </w:p>
        </w:tc>
        <w:tc>
          <w:tcPr>
            <w:tcW w:w="1740" w:type="dxa"/>
            <w:vAlign w:val="bottom"/>
            <w:vMerge w:val="restart"/>
          </w:tcPr>
          <w:p>
            <w:pPr>
              <w:jc w:val="center"/>
              <w:ind w:left="540"/>
              <w:spacing w:after="0" w:line="528" w:lineRule="exact"/>
              <w:rPr>
                <w:sz w:val="20"/>
                <w:szCs w:val="20"/>
                <w:color w:val="auto"/>
              </w:rPr>
            </w:pPr>
            <w:r>
              <w:rPr>
                <w:rFonts w:ascii="Century Gothic" w:cs="Century Gothic" w:eastAsia="Century Gothic" w:hAnsi="Century Gothic"/>
                <w:sz w:val="40"/>
                <w:szCs w:val="40"/>
                <w:color w:val="08788C"/>
                <w:w w:val="92"/>
              </w:rPr>
              <w:t xml:space="preserve">2 </w:t>
            </w:r>
            <w:r>
              <w:rPr>
                <w:rFonts w:ascii="Microsoft YaHei" w:cs="Microsoft YaHei" w:eastAsia="Microsoft YaHei" w:hAnsi="Microsoft YaHei"/>
                <w:sz w:val="40"/>
                <w:szCs w:val="40"/>
                <w:color w:val="08788C"/>
                <w:w w:val="92"/>
              </w:rPr>
              <w:t>天</w:t>
            </w:r>
          </w:p>
        </w:tc>
        <w:tc>
          <w:tcPr>
            <w:tcW w:w="0" w:type="dxa"/>
            <w:vAlign w:val="bottom"/>
          </w:tcPr>
          <w:p>
            <w:pPr>
              <w:spacing w:after="0"/>
              <w:rPr>
                <w:sz w:val="1"/>
                <w:szCs w:val="1"/>
                <w:color w:val="auto"/>
              </w:rPr>
            </w:pPr>
          </w:p>
        </w:tc>
      </w:tr>
      <w:tr>
        <w:trPr>
          <w:trHeight w:val="311"/>
        </w:trPr>
        <w:tc>
          <w:tcPr>
            <w:tcW w:w="7160" w:type="dxa"/>
            <w:vAlign w:val="bottom"/>
            <w:vMerge w:val="restart"/>
          </w:tcPr>
          <w:p>
            <w:pPr>
              <w:spacing w:after="0" w:line="476" w:lineRule="exact"/>
              <w:rPr>
                <w:sz w:val="20"/>
                <w:szCs w:val="20"/>
                <w:color w:val="auto"/>
              </w:rPr>
            </w:pPr>
            <w:r>
              <w:rPr>
                <w:rFonts w:ascii="Microsoft YaHei" w:cs="Microsoft YaHei" w:eastAsia="Microsoft YaHei" w:hAnsi="Microsoft YaHei"/>
                <w:sz w:val="36"/>
                <w:szCs w:val="36"/>
                <w:color w:val="08788C"/>
              </w:rPr>
              <w:t>全方位解决投后整合的挑战</w:t>
            </w:r>
          </w:p>
        </w:tc>
        <w:tc>
          <w:tcPr>
            <w:tcW w:w="174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37"/>
        </w:trPr>
        <w:tc>
          <w:tcPr>
            <w:tcW w:w="7160" w:type="dxa"/>
            <w:vAlign w:val="bottom"/>
            <w:vMerge w:val="continue"/>
          </w:tcPr>
          <w:p>
            <w:pPr>
              <w:spacing w:after="0"/>
              <w:rPr>
                <w:sz w:val="24"/>
                <w:szCs w:val="24"/>
                <w:color w:val="auto"/>
              </w:rPr>
            </w:pPr>
          </w:p>
        </w:tc>
        <w:tc>
          <w:tcPr>
            <w:tcW w:w="17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9" w:lineRule="exact"/>
        <w:rPr>
          <w:sz w:val="20"/>
          <w:szCs w:val="20"/>
          <w:color w:val="auto"/>
        </w:rPr>
      </w:pPr>
    </w:p>
    <w:p>
      <w:pPr>
        <w:ind w:left="660"/>
        <w:spacing w:after="0" w:line="634" w:lineRule="exact"/>
        <w:rPr>
          <w:sz w:val="20"/>
          <w:szCs w:val="20"/>
          <w:color w:val="auto"/>
        </w:rPr>
      </w:pPr>
      <w:r>
        <w:rPr>
          <w:rFonts w:ascii="Microsoft YaHei" w:cs="Microsoft YaHei" w:eastAsia="Microsoft YaHei" w:hAnsi="Microsoft YaHei"/>
          <w:sz w:val="48"/>
          <w:szCs w:val="48"/>
          <w:b w:val="1"/>
          <w:bCs w:val="1"/>
          <w:color w:val="08788C"/>
        </w:rPr>
        <w:t>实战解决股权投资和并购后的整合挑战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365125</wp:posOffset>
                </wp:positionH>
                <wp:positionV relativeFrom="paragraph">
                  <wp:posOffset>167005</wp:posOffset>
                </wp:positionV>
                <wp:extent cx="564705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47055" cy="4763"/>
                        </a:xfrm>
                        <a:prstGeom prst="line">
                          <a:avLst/>
                        </a:prstGeom>
                        <a:solidFill>
                          <a:srgbClr val="FFFFFF"/>
                        </a:solidFill>
                        <a:ln w="38100">
                          <a:solidFill>
                            <a:srgbClr val="1E8083"/>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75pt,13.15pt" to="473.4pt,13.15pt" o:allowincell="f" strokecolor="#1E8083" strokeweight="3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both"/>
        <w:ind w:left="660" w:right="460"/>
        <w:spacing w:after="0" w:line="361" w:lineRule="exact"/>
        <w:rPr>
          <w:sz w:val="20"/>
          <w:szCs w:val="20"/>
          <w:color w:val="auto"/>
        </w:rPr>
      </w:pPr>
      <w:r>
        <w:rPr>
          <w:rFonts w:ascii="Microsoft YaHei" w:cs="Microsoft YaHei" w:eastAsia="Microsoft YaHei" w:hAnsi="Microsoft YaHei"/>
          <w:sz w:val="22"/>
          <w:szCs w:val="22"/>
          <w:color w:val="auto"/>
        </w:rPr>
        <w:t>波特曾对</w:t>
      </w:r>
      <w:r>
        <w:rPr>
          <w:rFonts w:ascii="Century Gothic" w:cs="Century Gothic" w:eastAsia="Century Gothic" w:hAnsi="Century Gothic"/>
          <w:sz w:val="22"/>
          <w:szCs w:val="22"/>
          <w:color w:val="auto"/>
        </w:rPr>
        <w:t>“</w:t>
      </w:r>
      <w:r>
        <w:rPr>
          <w:rFonts w:ascii="Microsoft YaHei" w:cs="Microsoft YaHei" w:eastAsia="Microsoft YaHei" w:hAnsi="Microsoft YaHei"/>
          <w:sz w:val="22"/>
          <w:szCs w:val="22"/>
          <w:color w:val="auto"/>
        </w:rPr>
        <w:t>财富</w:t>
      </w:r>
      <w:r>
        <w:rPr>
          <w:rFonts w:ascii="Century Gothic" w:cs="Century Gothic" w:eastAsia="Century Gothic" w:hAnsi="Century Gothic"/>
          <w:sz w:val="22"/>
          <w:szCs w:val="22"/>
          <w:color w:val="auto"/>
        </w:rPr>
        <w:t>500</w:t>
      </w:r>
      <w:r>
        <w:rPr>
          <w:rFonts w:ascii="Microsoft YaHei" w:cs="Microsoft YaHei" w:eastAsia="Microsoft YaHei" w:hAnsi="Microsoft YaHei"/>
          <w:sz w:val="22"/>
          <w:szCs w:val="22"/>
          <w:color w:val="auto"/>
        </w:rPr>
        <w:t>强</w:t>
      </w:r>
      <w:r>
        <w:rPr>
          <w:rFonts w:ascii="Century Gothic" w:cs="Century Gothic" w:eastAsia="Century Gothic" w:hAnsi="Century Gothic"/>
          <w:sz w:val="22"/>
          <w:szCs w:val="22"/>
          <w:color w:val="auto"/>
        </w:rPr>
        <w:t>”</w:t>
      </w:r>
      <w:r>
        <w:rPr>
          <w:rFonts w:ascii="Microsoft YaHei" w:cs="Microsoft YaHei" w:eastAsia="Microsoft YaHei" w:hAnsi="Microsoft YaHei"/>
          <w:sz w:val="22"/>
          <w:szCs w:val="22"/>
          <w:color w:val="auto"/>
        </w:rPr>
        <w:t>公司作的研究表明</w:t>
      </w:r>
      <w:r>
        <w:rPr>
          <w:rFonts w:ascii="Century Gothic" w:cs="Century Gothic" w:eastAsia="Century Gothic" w:hAnsi="Century Gothic"/>
          <w:sz w:val="22"/>
          <w:szCs w:val="22"/>
          <w:color w:val="auto"/>
        </w:rPr>
        <w:t>,</w:t>
      </w:r>
      <w:r>
        <w:rPr>
          <w:rFonts w:ascii="Microsoft YaHei" w:cs="Microsoft YaHei" w:eastAsia="Microsoft YaHei" w:hAnsi="Microsoft YaHei"/>
          <w:sz w:val="22"/>
          <w:szCs w:val="22"/>
          <w:color w:val="auto"/>
        </w:rPr>
        <w:t>由于并购后双方大多不能很好地进行整合</w:t>
      </w:r>
      <w:r>
        <w:rPr>
          <w:rFonts w:ascii="Century Gothic" w:cs="Century Gothic" w:eastAsia="Century Gothic" w:hAnsi="Century Gothic"/>
          <w:sz w:val="22"/>
          <w:szCs w:val="22"/>
          <w:color w:val="auto"/>
        </w:rPr>
        <w:t>,</w:t>
      </w:r>
      <w:r>
        <w:rPr>
          <w:rFonts w:ascii="Microsoft YaHei" w:cs="Microsoft YaHei" w:eastAsia="Microsoft YaHei" w:hAnsi="Microsoft YaHei"/>
          <w:sz w:val="22"/>
          <w:szCs w:val="22"/>
          <w:color w:val="auto"/>
        </w:rPr>
        <w:t>在收购</w:t>
      </w:r>
      <w:r>
        <w:rPr>
          <w:rFonts w:ascii="Century Gothic" w:cs="Century Gothic" w:eastAsia="Century Gothic" w:hAnsi="Century Gothic"/>
          <w:sz w:val="22"/>
          <w:szCs w:val="22"/>
          <w:color w:val="auto"/>
        </w:rPr>
        <w:t>5</w:t>
      </w:r>
      <w:r>
        <w:rPr>
          <w:rFonts w:ascii="Microsoft YaHei" w:cs="Microsoft YaHei" w:eastAsia="Microsoft YaHei" w:hAnsi="Microsoft YaHei"/>
          <w:sz w:val="22"/>
          <w:szCs w:val="22"/>
          <w:color w:val="auto"/>
        </w:rPr>
        <w:t>年之后</w:t>
      </w:r>
      <w:r>
        <w:rPr>
          <w:rFonts w:ascii="Century Gothic" w:cs="Century Gothic" w:eastAsia="Century Gothic" w:hAnsi="Century Gothic"/>
          <w:sz w:val="22"/>
          <w:szCs w:val="22"/>
          <w:color w:val="auto"/>
        </w:rPr>
        <w:t>,70%</w:t>
      </w:r>
      <w:r>
        <w:rPr>
          <w:rFonts w:ascii="Microsoft YaHei" w:cs="Microsoft YaHei" w:eastAsia="Microsoft YaHei" w:hAnsi="Microsoft YaHei"/>
          <w:sz w:val="22"/>
          <w:szCs w:val="22"/>
          <w:color w:val="auto"/>
        </w:rPr>
        <w:t>以上的公司又把这些业务不相关的企业重新剥离了出去。近年来投后爆雷导致的商誉减值、高负债、利润下降，已严重影响中企经营甚至生存。</w:t>
      </w:r>
    </w:p>
    <w:p>
      <w:pPr>
        <w:spacing w:after="0" w:line="111" w:lineRule="exact"/>
        <w:rPr>
          <w:sz w:val="20"/>
          <w:szCs w:val="20"/>
          <w:color w:val="auto"/>
        </w:rPr>
      </w:pPr>
    </w:p>
    <w:p>
      <w:pPr>
        <w:jc w:val="both"/>
        <w:ind w:left="660" w:right="460"/>
        <w:spacing w:after="0" w:line="340" w:lineRule="exact"/>
        <w:rPr>
          <w:sz w:val="20"/>
          <w:szCs w:val="20"/>
          <w:color w:val="auto"/>
        </w:rPr>
      </w:pPr>
      <w:r>
        <w:rPr>
          <w:rFonts w:ascii="Microsoft YaHei" w:cs="Microsoft YaHei" w:eastAsia="Microsoft YaHei" w:hAnsi="Microsoft YaHei"/>
          <w:sz w:val="22"/>
          <w:szCs w:val="22"/>
          <w:color w:val="auto"/>
        </w:rPr>
        <w:t>故而并购后整合管理直接影响到并购的成败，投后目标公司业绩决定了项目回报率、退出（财投）、协同的实现（并购）等是否达标，这一切都离不开良好的投后整合。</w:t>
      </w:r>
    </w:p>
    <w:p>
      <w:pPr>
        <w:spacing w:after="0" w:line="200" w:lineRule="exact"/>
        <w:rPr>
          <w:sz w:val="20"/>
          <w:szCs w:val="20"/>
          <w:color w:val="auto"/>
        </w:rPr>
      </w:pPr>
    </w:p>
    <w:p>
      <w:pPr>
        <w:spacing w:after="0" w:line="302" w:lineRule="exact"/>
        <w:rPr>
          <w:sz w:val="20"/>
          <w:szCs w:val="20"/>
          <w:color w:val="auto"/>
        </w:rPr>
      </w:pPr>
    </w:p>
    <w:p>
      <w:pPr>
        <w:ind w:left="660"/>
        <w:spacing w:after="0" w:line="291" w:lineRule="exact"/>
        <w:rPr>
          <w:sz w:val="20"/>
          <w:szCs w:val="20"/>
          <w:color w:val="auto"/>
        </w:rPr>
      </w:pPr>
      <w:r>
        <w:rPr>
          <w:rFonts w:ascii="Microsoft YaHei" w:cs="Microsoft YaHei" w:eastAsia="Microsoft YaHei" w:hAnsi="Microsoft YaHei"/>
          <w:sz w:val="22"/>
          <w:szCs w:val="22"/>
          <w:b w:val="1"/>
          <w:bCs w:val="1"/>
          <w:color w:val="08788C"/>
        </w:rPr>
        <w:t>在投后管理中，企业往往会遇到如下问题或困惑：</w:t>
      </w:r>
    </w:p>
    <w:p>
      <w:pPr>
        <w:spacing w:after="0" w:line="106" w:lineRule="exact"/>
        <w:rPr>
          <w:sz w:val="20"/>
          <w:szCs w:val="20"/>
          <w:color w:val="auto"/>
        </w:rPr>
      </w:pPr>
    </w:p>
    <w:p>
      <w:pPr>
        <w:ind w:left="920" w:hanging="269"/>
        <w:spacing w:after="0" w:line="291" w:lineRule="exact"/>
        <w:tabs>
          <w:tab w:leader="none" w:pos="920" w:val="left"/>
        </w:tabs>
        <w:numPr>
          <w:ilvl w:val="0"/>
          <w:numId w:val="1"/>
        </w:numPr>
        <w:rPr>
          <w:rFonts w:ascii="Wingdings" w:cs="Wingdings" w:eastAsia="Wingdings" w:hAnsi="Wingdings"/>
          <w:sz w:val="11"/>
          <w:szCs w:val="11"/>
          <w:b w:val="1"/>
          <w:bCs w:val="1"/>
          <w:color w:val="08788C"/>
        </w:rPr>
      </w:pPr>
      <w:r>
        <w:rPr>
          <w:rFonts w:ascii="Microsoft YaHei" w:cs="Microsoft YaHei" w:eastAsia="Microsoft YaHei" w:hAnsi="Microsoft YaHei"/>
          <w:sz w:val="22"/>
          <w:szCs w:val="22"/>
          <w:color w:val="auto"/>
        </w:rPr>
        <w:t>两家不同文化和背景的公司如何融合？</w:t>
      </w:r>
    </w:p>
    <w:p>
      <w:pPr>
        <w:spacing w:after="0" w:line="105" w:lineRule="exact"/>
        <w:rPr>
          <w:rFonts w:ascii="Wingdings" w:cs="Wingdings" w:eastAsia="Wingdings" w:hAnsi="Wingdings"/>
          <w:sz w:val="11"/>
          <w:szCs w:val="11"/>
          <w:b w:val="1"/>
          <w:bCs w:val="1"/>
          <w:color w:val="08788C"/>
        </w:rPr>
      </w:pPr>
    </w:p>
    <w:p>
      <w:pPr>
        <w:ind w:left="920" w:hanging="269"/>
        <w:spacing w:after="0" w:line="291" w:lineRule="exact"/>
        <w:tabs>
          <w:tab w:leader="none" w:pos="920" w:val="left"/>
        </w:tabs>
        <w:numPr>
          <w:ilvl w:val="0"/>
          <w:numId w:val="1"/>
        </w:numPr>
        <w:rPr>
          <w:rFonts w:ascii="Wingdings" w:cs="Wingdings" w:eastAsia="Wingdings" w:hAnsi="Wingdings"/>
          <w:sz w:val="11"/>
          <w:szCs w:val="11"/>
          <w:b w:val="1"/>
          <w:bCs w:val="1"/>
          <w:color w:val="08788C"/>
        </w:rPr>
      </w:pPr>
      <w:r>
        <w:rPr>
          <w:rFonts w:ascii="Microsoft YaHei" w:cs="Microsoft YaHei" w:eastAsia="Microsoft YaHei" w:hAnsi="Microsoft YaHei"/>
          <w:sz w:val="22"/>
          <w:szCs w:val="22"/>
          <w:color w:val="auto"/>
        </w:rPr>
        <w:t>双方的优势领域如何互补？</w:t>
      </w:r>
    </w:p>
    <w:p>
      <w:pPr>
        <w:spacing w:after="0" w:line="105" w:lineRule="exact"/>
        <w:rPr>
          <w:rFonts w:ascii="Wingdings" w:cs="Wingdings" w:eastAsia="Wingdings" w:hAnsi="Wingdings"/>
          <w:sz w:val="11"/>
          <w:szCs w:val="11"/>
          <w:b w:val="1"/>
          <w:bCs w:val="1"/>
          <w:color w:val="08788C"/>
        </w:rPr>
      </w:pPr>
    </w:p>
    <w:p>
      <w:pPr>
        <w:ind w:left="920" w:hanging="269"/>
        <w:spacing w:after="0" w:line="291" w:lineRule="exact"/>
        <w:tabs>
          <w:tab w:leader="none" w:pos="920" w:val="left"/>
        </w:tabs>
        <w:numPr>
          <w:ilvl w:val="0"/>
          <w:numId w:val="1"/>
        </w:numPr>
        <w:rPr>
          <w:rFonts w:ascii="Wingdings" w:cs="Wingdings" w:eastAsia="Wingdings" w:hAnsi="Wingdings"/>
          <w:sz w:val="11"/>
          <w:szCs w:val="11"/>
          <w:b w:val="1"/>
          <w:bCs w:val="1"/>
          <w:color w:val="08788C"/>
        </w:rPr>
      </w:pPr>
      <w:r>
        <w:rPr>
          <w:rFonts w:ascii="Microsoft YaHei" w:cs="Microsoft YaHei" w:eastAsia="Microsoft YaHei" w:hAnsi="Microsoft YaHei"/>
          <w:sz w:val="22"/>
          <w:szCs w:val="22"/>
          <w:color w:val="auto"/>
        </w:rPr>
        <w:t>如何降低运营成本，发挥出理想的协同效益？</w:t>
      </w:r>
    </w:p>
    <w:p>
      <w:pPr>
        <w:spacing w:after="0" w:line="105" w:lineRule="exact"/>
        <w:rPr>
          <w:rFonts w:ascii="Wingdings" w:cs="Wingdings" w:eastAsia="Wingdings" w:hAnsi="Wingdings"/>
          <w:sz w:val="11"/>
          <w:szCs w:val="11"/>
          <w:b w:val="1"/>
          <w:bCs w:val="1"/>
          <w:color w:val="08788C"/>
        </w:rPr>
      </w:pPr>
    </w:p>
    <w:p>
      <w:pPr>
        <w:ind w:left="920" w:hanging="269"/>
        <w:spacing w:after="0" w:line="291" w:lineRule="exact"/>
        <w:tabs>
          <w:tab w:leader="none" w:pos="920" w:val="left"/>
        </w:tabs>
        <w:numPr>
          <w:ilvl w:val="0"/>
          <w:numId w:val="1"/>
        </w:numPr>
        <w:rPr>
          <w:rFonts w:ascii="Wingdings" w:cs="Wingdings" w:eastAsia="Wingdings" w:hAnsi="Wingdings"/>
          <w:sz w:val="11"/>
          <w:szCs w:val="11"/>
          <w:b w:val="1"/>
          <w:bCs w:val="1"/>
          <w:color w:val="08788C"/>
        </w:rPr>
      </w:pPr>
      <w:r>
        <w:rPr>
          <w:rFonts w:ascii="Microsoft YaHei" w:cs="Microsoft YaHei" w:eastAsia="Microsoft YaHei" w:hAnsi="Microsoft YaHei"/>
          <w:sz w:val="22"/>
          <w:szCs w:val="22"/>
          <w:color w:val="auto"/>
        </w:rPr>
        <w:t>如何稳定标的公司的管理层和员工？</w:t>
      </w:r>
    </w:p>
    <w:p>
      <w:pPr>
        <w:spacing w:after="0" w:line="105" w:lineRule="exact"/>
        <w:rPr>
          <w:rFonts w:ascii="Wingdings" w:cs="Wingdings" w:eastAsia="Wingdings" w:hAnsi="Wingdings"/>
          <w:sz w:val="11"/>
          <w:szCs w:val="11"/>
          <w:b w:val="1"/>
          <w:bCs w:val="1"/>
          <w:color w:val="08788C"/>
        </w:rPr>
      </w:pPr>
    </w:p>
    <w:p>
      <w:pPr>
        <w:ind w:left="920" w:hanging="269"/>
        <w:spacing w:after="0" w:line="291" w:lineRule="exact"/>
        <w:tabs>
          <w:tab w:leader="none" w:pos="920" w:val="left"/>
        </w:tabs>
        <w:numPr>
          <w:ilvl w:val="0"/>
          <w:numId w:val="1"/>
        </w:numPr>
        <w:rPr>
          <w:rFonts w:ascii="Wingdings" w:cs="Wingdings" w:eastAsia="Wingdings" w:hAnsi="Wingdings"/>
          <w:sz w:val="11"/>
          <w:szCs w:val="11"/>
          <w:b w:val="1"/>
          <w:bCs w:val="1"/>
          <w:color w:val="08788C"/>
        </w:rPr>
      </w:pPr>
      <w:r>
        <w:rPr>
          <w:rFonts w:ascii="Microsoft YaHei" w:cs="Microsoft YaHei" w:eastAsia="Microsoft YaHei" w:hAnsi="Microsoft YaHei"/>
          <w:sz w:val="22"/>
          <w:szCs w:val="22"/>
          <w:color w:val="auto"/>
        </w:rPr>
        <w:t>如何管理比自己实力强的公司？</w:t>
      </w:r>
    </w:p>
    <w:p>
      <w:pPr>
        <w:spacing w:after="0" w:line="105" w:lineRule="exact"/>
        <w:rPr>
          <w:rFonts w:ascii="Wingdings" w:cs="Wingdings" w:eastAsia="Wingdings" w:hAnsi="Wingdings"/>
          <w:sz w:val="11"/>
          <w:szCs w:val="11"/>
          <w:b w:val="1"/>
          <w:bCs w:val="1"/>
          <w:color w:val="08788C"/>
        </w:rPr>
      </w:pPr>
    </w:p>
    <w:p>
      <w:pPr>
        <w:ind w:left="920" w:hanging="269"/>
        <w:spacing w:after="0" w:line="291" w:lineRule="exact"/>
        <w:tabs>
          <w:tab w:leader="none" w:pos="920" w:val="left"/>
        </w:tabs>
        <w:numPr>
          <w:ilvl w:val="0"/>
          <w:numId w:val="1"/>
        </w:numPr>
        <w:rPr>
          <w:rFonts w:ascii="Wingdings" w:cs="Wingdings" w:eastAsia="Wingdings" w:hAnsi="Wingdings"/>
          <w:sz w:val="11"/>
          <w:szCs w:val="11"/>
          <w:b w:val="1"/>
          <w:bCs w:val="1"/>
          <w:color w:val="08788C"/>
        </w:rPr>
      </w:pPr>
      <w:r>
        <w:rPr>
          <w:rFonts w:ascii="Microsoft YaHei" w:cs="Microsoft YaHei" w:eastAsia="Microsoft YaHei" w:hAnsi="Microsoft YaHei"/>
          <w:sz w:val="22"/>
          <w:szCs w:val="22"/>
          <w:color w:val="auto"/>
        </w:rPr>
        <w:t>整合价值和内容能否迅速且有效处理</w:t>
      </w:r>
    </w:p>
    <w:p>
      <w:pPr>
        <w:spacing w:after="0" w:line="375" w:lineRule="exact"/>
        <w:rPr>
          <w:sz w:val="20"/>
          <w:szCs w:val="20"/>
          <w:color w:val="auto"/>
        </w:rPr>
      </w:pPr>
    </w:p>
    <w:p>
      <w:pPr>
        <w:ind w:left="660" w:right="220"/>
        <w:spacing w:after="0" w:line="377" w:lineRule="exact"/>
        <w:rPr>
          <w:sz w:val="20"/>
          <w:szCs w:val="20"/>
          <w:color w:val="auto"/>
        </w:rPr>
      </w:pPr>
      <w:r>
        <w:rPr>
          <w:rFonts w:ascii="Microsoft YaHei" w:cs="Microsoft YaHei" w:eastAsia="Microsoft YaHei" w:hAnsi="Microsoft YaHei"/>
          <w:sz w:val="22"/>
          <w:szCs w:val="22"/>
          <w:color w:val="auto"/>
        </w:rPr>
        <w:t>安越精研《股权投资与并购的投后管理》，从投后不同的管理模式及目标、团队筛选组合、业务模式重组、重大管理流程整合、项目善后等环节，配合大量案例，全面阐述投后及整合管理体系。由于并购后的整合管理的风险和难度最大、团队要求最高，因此这门课将聚焦并购后的整合管理为主，兼顾财务投资、战略投资、早期</w:t>
      </w:r>
      <w:r>
        <w:rPr>
          <w:rFonts w:ascii="Century Gothic" w:cs="Century Gothic" w:eastAsia="Century Gothic" w:hAnsi="Century Gothic"/>
          <w:sz w:val="22"/>
          <w:szCs w:val="22"/>
          <w:color w:val="auto"/>
        </w:rPr>
        <w:t>/</w:t>
      </w:r>
      <w:r>
        <w:rPr>
          <w:rFonts w:ascii="Microsoft YaHei" w:cs="Microsoft YaHei" w:eastAsia="Microsoft YaHei" w:hAnsi="Microsoft YaHei"/>
          <w:sz w:val="22"/>
          <w:szCs w:val="22"/>
          <w:color w:val="auto"/>
        </w:rPr>
        <w:t>创业投资等的投后管理要求。涵盖投前投后衔接、业务重组、流程内控、公司治理和团队优化等，从而提高投后成功率及业务的持续盈利，并不断优化投前流程管控与决策</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47625</wp:posOffset>
                </wp:positionH>
                <wp:positionV relativeFrom="paragraph">
                  <wp:posOffset>2164080</wp:posOffset>
                </wp:positionV>
                <wp:extent cx="624522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45225" cy="4763"/>
                        </a:xfrm>
                        <a:prstGeom prst="line">
                          <a:avLst/>
                        </a:prstGeom>
                        <a:solidFill>
                          <a:srgbClr val="FFFFFF"/>
                        </a:solidFill>
                        <a:ln w="12192">
                          <a:solidFill>
                            <a:srgbClr val="08788C"/>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5pt,170.4pt" to="495.5pt,170.4pt" o:allowincell="f" strokecolor="#08788C" strokeweight="0.96pt"/>
            </w:pict>
          </mc:Fallback>
        </mc:AlternateContent>
        <w:drawing>
          <wp:anchor simplePos="0" relativeHeight="251657728" behindDoc="1" locked="0" layoutInCell="0" allowOverlap="1">
            <wp:simplePos x="0" y="0"/>
            <wp:positionH relativeFrom="column">
              <wp:posOffset>951230</wp:posOffset>
            </wp:positionH>
            <wp:positionV relativeFrom="paragraph">
              <wp:posOffset>295910</wp:posOffset>
            </wp:positionV>
            <wp:extent cx="4438015" cy="14312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extLst>
                    </a:blip>
                    <a:srcRect/>
                    <a:stretch>
                      <a:fillRect/>
                    </a:stretch>
                  </pic:blipFill>
                  <pic:spPr bwMode="auto">
                    <a:xfrm>
                      <a:off x="0" y="0"/>
                      <a:ext cx="4438015" cy="1431290"/>
                    </a:xfrm>
                    <a:prstGeom prst="rect">
                      <a:avLst/>
                    </a:prstGeom>
                    <a:noFill/>
                  </pic:spPr>
                </pic:pic>
              </a:graphicData>
            </a:graphic>
          </wp:anchor>
        </w:drawing>
      </w:r>
    </w:p>
    <w:p>
      <w:pPr>
        <w:sectPr>
          <w:pgSz w:w="10800" w:h="15600" w:orient="portrait"/>
          <w:cols w:equalWidth="0" w:num="1">
            <w:col w:w="9900"/>
          </w:cols>
          <w:pgMar w:left="400" w:top="775" w:right="5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spacing w:after="0" w:line="229" w:lineRule="exact"/>
        <w:tabs>
          <w:tab w:leader="none" w:pos="8100" w:val="left"/>
        </w:tabs>
        <w:rPr>
          <w:sz w:val="20"/>
          <w:szCs w:val="20"/>
          <w:color w:val="auto"/>
        </w:rPr>
      </w:pPr>
      <w:r>
        <w:rPr>
          <w:rFonts w:ascii="Microsoft JhengHei UI Light" w:cs="Microsoft JhengHei UI Light" w:eastAsia="Microsoft JhengHei UI Light" w:hAnsi="Microsoft JhengHei UI Light"/>
          <w:sz w:val="18"/>
          <w:szCs w:val="18"/>
          <w:color w:val="auto"/>
        </w:rPr>
        <w:t>《股权投资与并购的投后管理》</w:t>
      </w:r>
      <w:r>
        <w:rPr>
          <w:sz w:val="20"/>
          <w:szCs w:val="20"/>
          <w:color w:val="auto"/>
        </w:rPr>
        <w:tab/>
      </w:r>
      <w:r>
        <w:rPr>
          <w:rFonts w:ascii="Microsoft JhengHei UI Light" w:cs="Microsoft JhengHei UI Light" w:eastAsia="Microsoft JhengHei UI Light" w:hAnsi="Microsoft JhengHei UI Light"/>
          <w:sz w:val="18"/>
          <w:szCs w:val="18"/>
          <w:color w:val="auto"/>
        </w:rPr>
        <w:t>选择安越因为专业 01</w:t>
      </w:r>
    </w:p>
    <w:p>
      <w:pPr>
        <w:sectPr>
          <w:pgSz w:w="10800" w:h="15600" w:orient="portrait"/>
          <w:cols w:equalWidth="0" w:num="1">
            <w:col w:w="9900"/>
          </w:cols>
          <w:pgMar w:left="400" w:top="775" w:right="500" w:bottom="0" w:gutter="0" w:footer="0" w:header="0"/>
          <w:type w:val="continuous"/>
        </w:sectPr>
      </w:pPr>
    </w:p>
    <w:bookmarkStart w:id="2" w:name="page3"/>
    <w:bookmarkEnd w:id="2"/>
    <w:p>
      <w:pPr>
        <w:spacing w:after="0" w:line="173"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6858000" cy="41738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858000" cy="4173855"/>
                    </a:xfrm>
                    <a:prstGeom prst="rect">
                      <a:avLst/>
                    </a:prstGeom>
                    <a:noFill/>
                  </pic:spPr>
                </pic:pic>
              </a:graphicData>
            </a:graphic>
          </wp:anchor>
        </w:drawing>
      </w:r>
    </w:p>
    <w:tbl>
      <w:tblPr>
        <w:tblLayout w:type="fixed"/>
        <w:tblInd w:w="80" w:type="dxa"/>
        <w:tblCellMar>
          <w:top w:w="0" w:type="dxa"/>
          <w:left w:w="0" w:type="dxa"/>
          <w:bottom w:w="0" w:type="dxa"/>
          <w:right w:w="0" w:type="dxa"/>
        </w:tblCellMar>
      </w:tblPr>
      <w:tr>
        <w:trPr>
          <w:trHeight w:val="1170"/>
        </w:trPr>
        <w:tc>
          <w:tcPr>
            <w:tcW w:w="3760" w:type="dxa"/>
            <w:vAlign w:val="bottom"/>
            <w:shd w:val="clear" w:color="auto" w:fill="1E8083"/>
          </w:tcPr>
          <w:p>
            <w:pPr>
              <w:jc w:val="right"/>
              <w:ind w:right="162"/>
              <w:spacing w:after="0" w:line="372" w:lineRule="exact"/>
              <w:rPr>
                <w:sz w:val="20"/>
                <w:szCs w:val="20"/>
                <w:color w:val="auto"/>
              </w:rPr>
            </w:pPr>
            <w:r>
              <w:rPr>
                <w:rFonts w:ascii="Microsoft YaHei" w:cs="Microsoft YaHei" w:eastAsia="Microsoft YaHei" w:hAnsi="Microsoft YaHei"/>
                <w:sz w:val="28"/>
                <w:szCs w:val="28"/>
                <w:color w:val="FFFFFF"/>
              </w:rPr>
              <w:t>培训对象</w:t>
            </w:r>
            <w:r>
              <w:rPr>
                <w:rFonts w:ascii="Calibri" w:cs="Calibri" w:eastAsia="Calibri" w:hAnsi="Calibri"/>
                <w:sz w:val="22"/>
                <w:szCs w:val="22"/>
                <w:b w:val="1"/>
                <w:bCs w:val="1"/>
                <w:color w:val="FFFFFF"/>
              </w:rPr>
              <w:t xml:space="preserve"> TARGET AUDIENCE</w:t>
            </w:r>
          </w:p>
        </w:tc>
        <w:tc>
          <w:tcPr>
            <w:tcW w:w="6100" w:type="dxa"/>
            <w:vAlign w:val="bottom"/>
            <w:shd w:val="clear" w:color="auto" w:fill="1E8083"/>
          </w:tcPr>
          <w:p>
            <w:pPr>
              <w:ind w:left="280"/>
              <w:spacing w:after="0" w:line="372" w:lineRule="exact"/>
              <w:rPr>
                <w:sz w:val="20"/>
                <w:szCs w:val="20"/>
                <w:color w:val="auto"/>
              </w:rPr>
            </w:pPr>
            <w:r>
              <w:rPr>
                <w:rFonts w:ascii="Microsoft YaHei" w:cs="Microsoft YaHei" w:eastAsia="Microsoft YaHei" w:hAnsi="Microsoft YaHei"/>
                <w:sz w:val="28"/>
                <w:szCs w:val="28"/>
                <w:color w:val="FFFFFF"/>
              </w:rPr>
              <w:t>课程收益</w:t>
            </w:r>
            <w:r>
              <w:rPr>
                <w:rFonts w:ascii="Calibri" w:cs="Calibri" w:eastAsia="Calibri" w:hAnsi="Calibri"/>
                <w:sz w:val="22"/>
                <w:szCs w:val="22"/>
                <w:b w:val="1"/>
                <w:bCs w:val="1"/>
                <w:color w:val="FFFFFF"/>
              </w:rPr>
              <w:t xml:space="preserve"> KEY BENEFITS</w:t>
            </w:r>
          </w:p>
        </w:tc>
        <w:tc>
          <w:tcPr>
            <w:tcW w:w="0" w:type="dxa"/>
            <w:vAlign w:val="bottom"/>
          </w:tcPr>
          <w:p>
            <w:pPr>
              <w:spacing w:after="0"/>
              <w:rPr>
                <w:sz w:val="1"/>
                <w:szCs w:val="1"/>
                <w:color w:val="auto"/>
              </w:rPr>
            </w:pPr>
          </w:p>
        </w:tc>
      </w:tr>
      <w:tr>
        <w:trPr>
          <w:trHeight w:val="623"/>
        </w:trPr>
        <w:tc>
          <w:tcPr>
            <w:tcW w:w="3760" w:type="dxa"/>
            <w:vAlign w:val="bottom"/>
            <w:vMerge w:val="restart"/>
            <w:shd w:val="clear" w:color="auto" w:fill="1E8083"/>
          </w:tcPr>
          <w:p>
            <w:pPr>
              <w:jc w:val="right"/>
              <w:ind w:right="242"/>
              <w:spacing w:after="0" w:line="317" w:lineRule="exact"/>
              <w:rPr>
                <w:sz w:val="20"/>
                <w:szCs w:val="20"/>
                <w:color w:val="auto"/>
              </w:rPr>
            </w:pPr>
            <w:r>
              <w:rPr>
                <w:rFonts w:ascii="Wingdings" w:cs="Wingdings" w:eastAsia="Wingdings" w:hAnsi="Wingdings"/>
                <w:sz w:val="24"/>
                <w:szCs w:val="24"/>
                <w:b w:val="1"/>
                <w:bCs w:val="1"/>
                <w:color w:val="FFFFFF"/>
              </w:rPr>
              <w:t xml:space="preserve"> </w:t>
            </w:r>
            <w:r>
              <w:rPr>
                <w:rFonts w:ascii="Microsoft YaHei" w:cs="Microsoft YaHei" w:eastAsia="Microsoft YaHei" w:hAnsi="Microsoft YaHei"/>
                <w:sz w:val="24"/>
                <w:szCs w:val="24"/>
                <w:color w:val="FFFFFF"/>
              </w:rPr>
              <w:t>董事长、总裁、总经理、</w:t>
            </w:r>
          </w:p>
        </w:tc>
        <w:tc>
          <w:tcPr>
            <w:tcW w:w="6100" w:type="dxa"/>
            <w:vAlign w:val="bottom"/>
            <w:shd w:val="clear" w:color="auto" w:fill="1E8083"/>
          </w:tcPr>
          <w:p>
            <w:pPr>
              <w:ind w:left="280"/>
              <w:spacing w:after="0" w:line="317" w:lineRule="exact"/>
              <w:rPr>
                <w:sz w:val="20"/>
                <w:szCs w:val="20"/>
                <w:color w:val="auto"/>
              </w:rPr>
            </w:pPr>
            <w:r>
              <w:rPr>
                <w:rFonts w:ascii="Wingdings" w:cs="Wingdings" w:eastAsia="Wingdings" w:hAnsi="Wingdings"/>
                <w:sz w:val="24"/>
                <w:szCs w:val="24"/>
                <w:b w:val="1"/>
                <w:bCs w:val="1"/>
                <w:color w:val="FFFFFF"/>
              </w:rPr>
              <w:t xml:space="preserve"> </w:t>
            </w:r>
            <w:r>
              <w:rPr>
                <w:rFonts w:ascii="Microsoft YaHei" w:cs="Microsoft YaHei" w:eastAsia="Microsoft YaHei" w:hAnsi="Microsoft YaHei"/>
                <w:sz w:val="24"/>
                <w:szCs w:val="24"/>
                <w:color w:val="FFFFFF"/>
              </w:rPr>
              <w:t>从企业实际情况出发，明确并购后管理整合工</w:t>
            </w:r>
          </w:p>
        </w:tc>
        <w:tc>
          <w:tcPr>
            <w:tcW w:w="0" w:type="dxa"/>
            <w:vAlign w:val="bottom"/>
          </w:tcPr>
          <w:p>
            <w:pPr>
              <w:spacing w:after="0"/>
              <w:rPr>
                <w:sz w:val="1"/>
                <w:szCs w:val="1"/>
                <w:color w:val="auto"/>
              </w:rPr>
            </w:pPr>
          </w:p>
        </w:tc>
      </w:tr>
      <w:tr>
        <w:trPr>
          <w:trHeight w:val="78"/>
        </w:trPr>
        <w:tc>
          <w:tcPr>
            <w:tcW w:w="3760" w:type="dxa"/>
            <w:vAlign w:val="bottom"/>
            <w:vMerge w:val="continue"/>
            <w:shd w:val="clear" w:color="auto" w:fill="1E8083"/>
          </w:tcPr>
          <w:p>
            <w:pPr>
              <w:spacing w:after="0"/>
              <w:rPr>
                <w:sz w:val="6"/>
                <w:szCs w:val="6"/>
                <w:color w:val="auto"/>
              </w:rPr>
            </w:pPr>
          </w:p>
        </w:tc>
        <w:tc>
          <w:tcPr>
            <w:tcW w:w="6100" w:type="dxa"/>
            <w:vAlign w:val="bottom"/>
            <w:vMerge w:val="restart"/>
            <w:shd w:val="clear" w:color="auto" w:fill="1E8083"/>
          </w:tcPr>
          <w:p>
            <w:pPr>
              <w:ind w:left="560"/>
              <w:spacing w:after="0" w:line="317" w:lineRule="exact"/>
              <w:rPr>
                <w:sz w:val="20"/>
                <w:szCs w:val="20"/>
                <w:color w:val="auto"/>
              </w:rPr>
            </w:pPr>
            <w:r>
              <w:rPr>
                <w:rFonts w:ascii="Microsoft YaHei" w:cs="Microsoft YaHei" w:eastAsia="Microsoft YaHei" w:hAnsi="Microsoft YaHei"/>
                <w:sz w:val="24"/>
                <w:szCs w:val="24"/>
                <w:color w:val="FFFFFF"/>
              </w:rPr>
              <w:t>作方向与工作重点</w:t>
            </w:r>
          </w:p>
        </w:tc>
        <w:tc>
          <w:tcPr>
            <w:tcW w:w="0" w:type="dxa"/>
            <w:vAlign w:val="bottom"/>
          </w:tcPr>
          <w:p>
            <w:pPr>
              <w:spacing w:after="0"/>
              <w:rPr>
                <w:sz w:val="1"/>
                <w:szCs w:val="1"/>
                <w:color w:val="auto"/>
              </w:rPr>
            </w:pPr>
          </w:p>
        </w:tc>
      </w:tr>
      <w:tr>
        <w:trPr>
          <w:trHeight w:val="296"/>
        </w:trPr>
        <w:tc>
          <w:tcPr>
            <w:tcW w:w="3760" w:type="dxa"/>
            <w:vAlign w:val="bottom"/>
            <w:vMerge w:val="restart"/>
            <w:shd w:val="clear" w:color="auto" w:fill="1E8083"/>
          </w:tcPr>
          <w:p>
            <w:pPr>
              <w:jc w:val="right"/>
              <w:ind w:right="482"/>
              <w:spacing w:after="0" w:line="317" w:lineRule="exact"/>
              <w:rPr>
                <w:sz w:val="20"/>
                <w:szCs w:val="20"/>
                <w:color w:val="auto"/>
              </w:rPr>
            </w:pPr>
            <w:r>
              <w:rPr>
                <w:rFonts w:ascii="Microsoft YaHei" w:cs="Microsoft YaHei" w:eastAsia="Microsoft YaHei" w:hAnsi="Microsoft YaHei"/>
                <w:sz w:val="24"/>
                <w:szCs w:val="24"/>
                <w:color w:val="FFFFFF"/>
              </w:rPr>
              <w:t>副总经理等公司管理层</w:t>
            </w:r>
          </w:p>
        </w:tc>
        <w:tc>
          <w:tcPr>
            <w:tcW w:w="6100" w:type="dxa"/>
            <w:vAlign w:val="bottom"/>
            <w:vMerge w:val="continue"/>
            <w:shd w:val="clear" w:color="auto" w:fill="1E8083"/>
          </w:tcPr>
          <w:p>
            <w:pPr>
              <w:spacing w:after="0"/>
              <w:rPr>
                <w:sz w:val="24"/>
                <w:szCs w:val="24"/>
                <w:color w:val="auto"/>
              </w:rPr>
            </w:pPr>
          </w:p>
        </w:tc>
        <w:tc>
          <w:tcPr>
            <w:tcW w:w="0" w:type="dxa"/>
            <w:vAlign w:val="bottom"/>
          </w:tcPr>
          <w:p>
            <w:pPr>
              <w:spacing w:after="0"/>
              <w:rPr>
                <w:sz w:val="1"/>
                <w:szCs w:val="1"/>
                <w:color w:val="auto"/>
              </w:rPr>
            </w:pPr>
          </w:p>
        </w:tc>
      </w:tr>
      <w:tr>
        <w:trPr>
          <w:trHeight w:val="136"/>
        </w:trPr>
        <w:tc>
          <w:tcPr>
            <w:tcW w:w="3760" w:type="dxa"/>
            <w:vAlign w:val="bottom"/>
            <w:vMerge w:val="continue"/>
            <w:shd w:val="clear" w:color="auto" w:fill="1E8083"/>
          </w:tcPr>
          <w:p>
            <w:pPr>
              <w:spacing w:after="0"/>
              <w:rPr>
                <w:sz w:val="11"/>
                <w:szCs w:val="11"/>
                <w:color w:val="auto"/>
              </w:rPr>
            </w:pPr>
          </w:p>
        </w:tc>
        <w:tc>
          <w:tcPr>
            <w:tcW w:w="6100" w:type="dxa"/>
            <w:vAlign w:val="bottom"/>
            <w:shd w:val="clear" w:color="auto" w:fill="1E8083"/>
          </w:tcPr>
          <w:p>
            <w:pPr>
              <w:spacing w:after="0"/>
              <w:rPr>
                <w:sz w:val="11"/>
                <w:szCs w:val="11"/>
                <w:color w:val="auto"/>
              </w:rPr>
            </w:pPr>
          </w:p>
        </w:tc>
        <w:tc>
          <w:tcPr>
            <w:tcW w:w="0" w:type="dxa"/>
            <w:vAlign w:val="bottom"/>
          </w:tcPr>
          <w:p>
            <w:pPr>
              <w:spacing w:after="0"/>
              <w:rPr>
                <w:sz w:val="1"/>
                <w:szCs w:val="1"/>
                <w:color w:val="auto"/>
              </w:rPr>
            </w:pPr>
          </w:p>
        </w:tc>
      </w:tr>
      <w:tr>
        <w:trPr>
          <w:trHeight w:val="399"/>
        </w:trPr>
        <w:tc>
          <w:tcPr>
            <w:tcW w:w="3760" w:type="dxa"/>
            <w:vAlign w:val="bottom"/>
            <w:vMerge w:val="restart"/>
            <w:shd w:val="clear" w:color="auto" w:fill="1E8083"/>
          </w:tcPr>
          <w:p>
            <w:pPr>
              <w:jc w:val="right"/>
              <w:ind w:right="722"/>
              <w:spacing w:after="0" w:line="317" w:lineRule="exact"/>
              <w:rPr>
                <w:sz w:val="20"/>
                <w:szCs w:val="20"/>
                <w:color w:val="auto"/>
              </w:rPr>
            </w:pPr>
            <w:r>
              <w:rPr>
                <w:rFonts w:ascii="Wingdings" w:cs="Wingdings" w:eastAsia="Wingdings" w:hAnsi="Wingdings"/>
                <w:sz w:val="24"/>
                <w:szCs w:val="24"/>
                <w:b w:val="1"/>
                <w:bCs w:val="1"/>
                <w:color w:val="FFFFFF"/>
              </w:rPr>
              <w:t xml:space="preserve"> </w:t>
            </w:r>
            <w:r>
              <w:rPr>
                <w:rFonts w:ascii="Microsoft YaHei" w:cs="Microsoft YaHei" w:eastAsia="Microsoft YaHei" w:hAnsi="Microsoft YaHei"/>
                <w:sz w:val="24"/>
                <w:szCs w:val="24"/>
                <w:color w:val="FFFFFF"/>
              </w:rPr>
              <w:t>财务总监、投资总监</w:t>
            </w:r>
          </w:p>
        </w:tc>
        <w:tc>
          <w:tcPr>
            <w:tcW w:w="6100" w:type="dxa"/>
            <w:vAlign w:val="bottom"/>
            <w:shd w:val="clear" w:color="auto" w:fill="1E8083"/>
          </w:tcPr>
          <w:p>
            <w:pPr>
              <w:ind w:left="280"/>
              <w:spacing w:after="0" w:line="317" w:lineRule="exact"/>
              <w:rPr>
                <w:sz w:val="20"/>
                <w:szCs w:val="20"/>
                <w:color w:val="auto"/>
              </w:rPr>
            </w:pPr>
            <w:r>
              <w:rPr>
                <w:rFonts w:ascii="Wingdings" w:cs="Wingdings" w:eastAsia="Wingdings" w:hAnsi="Wingdings"/>
                <w:sz w:val="24"/>
                <w:szCs w:val="24"/>
                <w:b w:val="1"/>
                <w:bCs w:val="1"/>
                <w:color w:val="FFFFFF"/>
              </w:rPr>
              <w:t xml:space="preserve"> </w:t>
            </w:r>
            <w:r>
              <w:rPr>
                <w:rFonts w:ascii="Microsoft YaHei" w:cs="Microsoft YaHei" w:eastAsia="Microsoft YaHei" w:hAnsi="Microsoft YaHei"/>
                <w:sz w:val="24"/>
                <w:szCs w:val="24"/>
                <w:color w:val="FFFFFF"/>
              </w:rPr>
              <w:t>清晰认识投资并购后的整合管理可能存在的风</w:t>
            </w:r>
          </w:p>
        </w:tc>
        <w:tc>
          <w:tcPr>
            <w:tcW w:w="0" w:type="dxa"/>
            <w:vAlign w:val="bottom"/>
          </w:tcPr>
          <w:p>
            <w:pPr>
              <w:spacing w:after="0"/>
              <w:rPr>
                <w:sz w:val="1"/>
                <w:szCs w:val="1"/>
                <w:color w:val="auto"/>
              </w:rPr>
            </w:pPr>
          </w:p>
        </w:tc>
      </w:tr>
      <w:tr>
        <w:trPr>
          <w:trHeight w:val="194"/>
        </w:trPr>
        <w:tc>
          <w:tcPr>
            <w:tcW w:w="3760" w:type="dxa"/>
            <w:vAlign w:val="bottom"/>
            <w:vMerge w:val="continue"/>
            <w:shd w:val="clear" w:color="auto" w:fill="1E8083"/>
          </w:tcPr>
          <w:p>
            <w:pPr>
              <w:spacing w:after="0"/>
              <w:rPr>
                <w:sz w:val="16"/>
                <w:szCs w:val="16"/>
                <w:color w:val="auto"/>
              </w:rPr>
            </w:pPr>
          </w:p>
        </w:tc>
        <w:tc>
          <w:tcPr>
            <w:tcW w:w="6100" w:type="dxa"/>
            <w:vAlign w:val="bottom"/>
            <w:vMerge w:val="restart"/>
            <w:shd w:val="clear" w:color="auto" w:fill="1E8083"/>
          </w:tcPr>
          <w:p>
            <w:pPr>
              <w:ind w:left="560"/>
              <w:spacing w:after="0" w:line="317" w:lineRule="exact"/>
              <w:rPr>
                <w:sz w:val="20"/>
                <w:szCs w:val="20"/>
                <w:color w:val="auto"/>
              </w:rPr>
            </w:pPr>
            <w:r>
              <w:rPr>
                <w:rFonts w:ascii="Microsoft YaHei" w:cs="Microsoft YaHei" w:eastAsia="Microsoft YaHei" w:hAnsi="Microsoft YaHei"/>
                <w:sz w:val="24"/>
                <w:szCs w:val="24"/>
                <w:color w:val="FFFFFF"/>
              </w:rPr>
              <w:t>险，掌握风控策略</w:t>
            </w:r>
          </w:p>
        </w:tc>
        <w:tc>
          <w:tcPr>
            <w:tcW w:w="0" w:type="dxa"/>
            <w:vAlign w:val="bottom"/>
          </w:tcPr>
          <w:p>
            <w:pPr>
              <w:spacing w:after="0"/>
              <w:rPr>
                <w:sz w:val="1"/>
                <w:szCs w:val="1"/>
                <w:color w:val="auto"/>
              </w:rPr>
            </w:pPr>
          </w:p>
        </w:tc>
      </w:tr>
      <w:tr>
        <w:trPr>
          <w:trHeight w:val="181"/>
        </w:trPr>
        <w:tc>
          <w:tcPr>
            <w:tcW w:w="3760" w:type="dxa"/>
            <w:vAlign w:val="bottom"/>
            <w:shd w:val="clear" w:color="auto" w:fill="1E8083"/>
          </w:tcPr>
          <w:p>
            <w:pPr>
              <w:spacing w:after="0"/>
              <w:rPr>
                <w:sz w:val="15"/>
                <w:szCs w:val="15"/>
                <w:color w:val="auto"/>
              </w:rPr>
            </w:pPr>
          </w:p>
        </w:tc>
        <w:tc>
          <w:tcPr>
            <w:tcW w:w="6100" w:type="dxa"/>
            <w:vAlign w:val="bottom"/>
            <w:vMerge w:val="continue"/>
            <w:shd w:val="clear" w:color="auto" w:fill="1E8083"/>
          </w:tcPr>
          <w:p>
            <w:pPr>
              <w:spacing w:after="0"/>
              <w:rPr>
                <w:sz w:val="15"/>
                <w:szCs w:val="15"/>
                <w:color w:val="auto"/>
              </w:rPr>
            </w:pPr>
          </w:p>
        </w:tc>
        <w:tc>
          <w:tcPr>
            <w:tcW w:w="0" w:type="dxa"/>
            <w:vAlign w:val="bottom"/>
          </w:tcPr>
          <w:p>
            <w:pPr>
              <w:spacing w:after="0"/>
              <w:rPr>
                <w:sz w:val="1"/>
                <w:szCs w:val="1"/>
                <w:color w:val="auto"/>
              </w:rPr>
            </w:pPr>
          </w:p>
        </w:tc>
      </w:tr>
      <w:tr>
        <w:trPr>
          <w:trHeight w:val="410"/>
        </w:trPr>
        <w:tc>
          <w:tcPr>
            <w:tcW w:w="3760" w:type="dxa"/>
            <w:vAlign w:val="bottom"/>
            <w:shd w:val="clear" w:color="auto" w:fill="1E8083"/>
          </w:tcPr>
          <w:p>
            <w:pPr>
              <w:jc w:val="right"/>
              <w:ind w:right="242"/>
              <w:spacing w:after="0" w:line="317" w:lineRule="exact"/>
              <w:rPr>
                <w:sz w:val="20"/>
                <w:szCs w:val="20"/>
                <w:color w:val="auto"/>
              </w:rPr>
            </w:pPr>
            <w:r>
              <w:rPr>
                <w:rFonts w:ascii="Wingdings" w:cs="Wingdings" w:eastAsia="Wingdings" w:hAnsi="Wingdings"/>
                <w:sz w:val="24"/>
                <w:szCs w:val="24"/>
                <w:b w:val="1"/>
                <w:bCs w:val="1"/>
                <w:color w:val="FFFFFF"/>
              </w:rPr>
              <w:t xml:space="preserve"> </w:t>
            </w:r>
            <w:r>
              <w:rPr>
                <w:rFonts w:ascii="Microsoft YaHei" w:cs="Microsoft YaHei" w:eastAsia="Microsoft YaHei" w:hAnsi="Microsoft YaHei"/>
                <w:sz w:val="24"/>
                <w:szCs w:val="24"/>
                <w:color w:val="FFFFFF"/>
              </w:rPr>
              <w:t>财务经理、投资经理、资</w:t>
            </w:r>
          </w:p>
        </w:tc>
        <w:tc>
          <w:tcPr>
            <w:tcW w:w="6100" w:type="dxa"/>
            <w:vAlign w:val="bottom"/>
            <w:vMerge w:val="restart"/>
            <w:shd w:val="clear" w:color="auto" w:fill="1E8083"/>
          </w:tcPr>
          <w:p>
            <w:pPr>
              <w:ind w:left="280"/>
              <w:spacing w:after="0" w:line="317" w:lineRule="exact"/>
              <w:rPr>
                <w:sz w:val="20"/>
                <w:szCs w:val="20"/>
                <w:color w:val="auto"/>
              </w:rPr>
            </w:pPr>
            <w:r>
              <w:rPr>
                <w:rFonts w:ascii="Wingdings" w:cs="Wingdings" w:eastAsia="Wingdings" w:hAnsi="Wingdings"/>
                <w:sz w:val="24"/>
                <w:szCs w:val="24"/>
                <w:b w:val="1"/>
                <w:bCs w:val="1"/>
                <w:color w:val="FFFFFF"/>
              </w:rPr>
              <w:t xml:space="preserve"> </w:t>
            </w:r>
            <w:r>
              <w:rPr>
                <w:rFonts w:ascii="Microsoft YaHei" w:cs="Microsoft YaHei" w:eastAsia="Microsoft YaHei" w:hAnsi="Microsoft YaHei"/>
                <w:sz w:val="24"/>
                <w:szCs w:val="24"/>
                <w:color w:val="FFFFFF"/>
              </w:rPr>
              <w:t>掌握并购后管理整合的难题和操作方法</w:t>
            </w:r>
          </w:p>
        </w:tc>
        <w:tc>
          <w:tcPr>
            <w:tcW w:w="0" w:type="dxa"/>
            <w:vAlign w:val="bottom"/>
          </w:tcPr>
          <w:p>
            <w:pPr>
              <w:spacing w:after="0"/>
              <w:rPr>
                <w:sz w:val="1"/>
                <w:szCs w:val="1"/>
                <w:color w:val="auto"/>
              </w:rPr>
            </w:pPr>
          </w:p>
        </w:tc>
      </w:tr>
      <w:tr>
        <w:trPr>
          <w:trHeight w:val="123"/>
        </w:trPr>
        <w:tc>
          <w:tcPr>
            <w:tcW w:w="3760" w:type="dxa"/>
            <w:vAlign w:val="bottom"/>
            <w:shd w:val="clear" w:color="auto" w:fill="1E8083"/>
          </w:tcPr>
          <w:p>
            <w:pPr>
              <w:spacing w:after="0"/>
              <w:rPr>
                <w:sz w:val="10"/>
                <w:szCs w:val="10"/>
                <w:color w:val="auto"/>
              </w:rPr>
            </w:pPr>
          </w:p>
        </w:tc>
        <w:tc>
          <w:tcPr>
            <w:tcW w:w="6100" w:type="dxa"/>
            <w:vAlign w:val="bottom"/>
            <w:vMerge w:val="continue"/>
            <w:shd w:val="clear" w:color="auto" w:fill="1E8083"/>
          </w:tcPr>
          <w:p>
            <w:pPr>
              <w:spacing w:after="0"/>
              <w:rPr>
                <w:sz w:val="10"/>
                <w:szCs w:val="10"/>
                <w:color w:val="auto"/>
              </w:rPr>
            </w:pPr>
          </w:p>
        </w:tc>
        <w:tc>
          <w:tcPr>
            <w:tcW w:w="0" w:type="dxa"/>
            <w:vAlign w:val="bottom"/>
          </w:tcPr>
          <w:p>
            <w:pPr>
              <w:spacing w:after="0"/>
              <w:rPr>
                <w:sz w:val="1"/>
                <w:szCs w:val="1"/>
                <w:color w:val="auto"/>
              </w:rPr>
            </w:pPr>
          </w:p>
        </w:tc>
      </w:tr>
      <w:tr>
        <w:trPr>
          <w:trHeight w:val="309"/>
        </w:trPr>
        <w:tc>
          <w:tcPr>
            <w:tcW w:w="3760" w:type="dxa"/>
            <w:vAlign w:val="bottom"/>
            <w:shd w:val="clear" w:color="auto" w:fill="1E8083"/>
          </w:tcPr>
          <w:p>
            <w:pPr>
              <w:jc w:val="right"/>
              <w:ind w:right="242"/>
              <w:spacing w:after="0" w:line="308" w:lineRule="exact"/>
              <w:rPr>
                <w:sz w:val="20"/>
                <w:szCs w:val="20"/>
                <w:color w:val="auto"/>
              </w:rPr>
            </w:pPr>
            <w:r>
              <w:rPr>
                <w:rFonts w:ascii="Microsoft YaHei" w:cs="Microsoft YaHei" w:eastAsia="Microsoft YaHei" w:hAnsi="Microsoft YaHei"/>
                <w:sz w:val="24"/>
                <w:szCs w:val="24"/>
                <w:color w:val="FFFFFF"/>
              </w:rPr>
              <w:t>金经理及其相关部门人员</w:t>
            </w:r>
          </w:p>
        </w:tc>
        <w:tc>
          <w:tcPr>
            <w:tcW w:w="6100" w:type="dxa"/>
            <w:vAlign w:val="bottom"/>
            <w:vMerge w:val="restart"/>
            <w:shd w:val="clear" w:color="auto" w:fill="1E8083"/>
          </w:tcPr>
          <w:p>
            <w:pPr>
              <w:ind w:left="280"/>
              <w:spacing w:after="0" w:line="317" w:lineRule="exact"/>
              <w:rPr>
                <w:sz w:val="20"/>
                <w:szCs w:val="20"/>
                <w:color w:val="auto"/>
              </w:rPr>
            </w:pPr>
            <w:r>
              <w:rPr>
                <w:rFonts w:ascii="Wingdings" w:cs="Wingdings" w:eastAsia="Wingdings" w:hAnsi="Wingdings"/>
                <w:sz w:val="24"/>
                <w:szCs w:val="24"/>
                <w:b w:val="1"/>
                <w:bCs w:val="1"/>
                <w:color w:val="FFFFFF"/>
              </w:rPr>
              <w:t xml:space="preserve"> </w:t>
            </w:r>
            <w:r>
              <w:rPr>
                <w:rFonts w:ascii="Microsoft YaHei" w:cs="Microsoft YaHei" w:eastAsia="Microsoft YaHei" w:hAnsi="Microsoft YaHei"/>
                <w:sz w:val="24"/>
                <w:szCs w:val="24"/>
                <w:color w:val="FFFFFF"/>
              </w:rPr>
              <w:t>国内外成败案例深度分析，学以致用，举一反</w:t>
            </w:r>
          </w:p>
        </w:tc>
        <w:tc>
          <w:tcPr>
            <w:tcW w:w="0" w:type="dxa"/>
            <w:vAlign w:val="bottom"/>
          </w:tcPr>
          <w:p>
            <w:pPr>
              <w:spacing w:after="0"/>
              <w:rPr>
                <w:sz w:val="1"/>
                <w:szCs w:val="1"/>
                <w:color w:val="auto"/>
              </w:rPr>
            </w:pPr>
          </w:p>
        </w:tc>
      </w:tr>
      <w:tr>
        <w:trPr>
          <w:trHeight w:val="226"/>
        </w:trPr>
        <w:tc>
          <w:tcPr>
            <w:tcW w:w="3760" w:type="dxa"/>
            <w:vAlign w:val="bottom"/>
            <w:shd w:val="clear" w:color="auto" w:fill="1E8083"/>
          </w:tcPr>
          <w:p>
            <w:pPr>
              <w:spacing w:after="0"/>
              <w:rPr>
                <w:sz w:val="19"/>
                <w:szCs w:val="19"/>
                <w:color w:val="auto"/>
              </w:rPr>
            </w:pPr>
          </w:p>
        </w:tc>
        <w:tc>
          <w:tcPr>
            <w:tcW w:w="6100" w:type="dxa"/>
            <w:vAlign w:val="bottom"/>
            <w:vMerge w:val="continue"/>
            <w:shd w:val="clear" w:color="auto" w:fill="1E8083"/>
          </w:tcPr>
          <w:p>
            <w:pPr>
              <w:spacing w:after="0"/>
              <w:rPr>
                <w:sz w:val="19"/>
                <w:szCs w:val="19"/>
                <w:color w:val="auto"/>
              </w:rPr>
            </w:pPr>
          </w:p>
        </w:tc>
        <w:tc>
          <w:tcPr>
            <w:tcW w:w="0" w:type="dxa"/>
            <w:vAlign w:val="bottom"/>
          </w:tcPr>
          <w:p>
            <w:pPr>
              <w:spacing w:after="0"/>
              <w:rPr>
                <w:sz w:val="1"/>
                <w:szCs w:val="1"/>
                <w:color w:val="auto"/>
              </w:rPr>
            </w:pPr>
          </w:p>
        </w:tc>
      </w:tr>
      <w:tr>
        <w:trPr>
          <w:trHeight w:val="374"/>
        </w:trPr>
        <w:tc>
          <w:tcPr>
            <w:tcW w:w="3760" w:type="dxa"/>
            <w:vAlign w:val="bottom"/>
            <w:shd w:val="clear" w:color="auto" w:fill="1E8083"/>
          </w:tcPr>
          <w:p>
            <w:pPr>
              <w:spacing w:after="0"/>
              <w:rPr>
                <w:sz w:val="24"/>
                <w:szCs w:val="24"/>
                <w:color w:val="auto"/>
              </w:rPr>
            </w:pPr>
          </w:p>
        </w:tc>
        <w:tc>
          <w:tcPr>
            <w:tcW w:w="6100" w:type="dxa"/>
            <w:vAlign w:val="bottom"/>
            <w:shd w:val="clear" w:color="auto" w:fill="1E8083"/>
          </w:tcPr>
          <w:p>
            <w:pPr>
              <w:ind w:left="560"/>
              <w:spacing w:after="0" w:line="317" w:lineRule="exact"/>
              <w:rPr>
                <w:sz w:val="20"/>
                <w:szCs w:val="20"/>
                <w:color w:val="auto"/>
              </w:rPr>
            </w:pPr>
            <w:r>
              <w:rPr>
                <w:rFonts w:ascii="Microsoft YaHei" w:cs="Microsoft YaHei" w:eastAsia="Microsoft YaHei" w:hAnsi="Microsoft YaHei"/>
                <w:sz w:val="24"/>
                <w:szCs w:val="24"/>
                <w:color w:val="FFFFFF"/>
              </w:rPr>
              <w:t>三，提高实务水平</w:t>
            </w:r>
          </w:p>
        </w:tc>
        <w:tc>
          <w:tcPr>
            <w:tcW w:w="0" w:type="dxa"/>
            <w:vAlign w:val="bottom"/>
          </w:tcPr>
          <w:p>
            <w:pPr>
              <w:spacing w:after="0"/>
              <w:rPr>
                <w:sz w:val="1"/>
                <w:szCs w:val="1"/>
                <w:color w:val="auto"/>
              </w:rPr>
            </w:pPr>
          </w:p>
        </w:tc>
      </w:tr>
      <w:tr>
        <w:trPr>
          <w:trHeight w:val="440"/>
        </w:trPr>
        <w:tc>
          <w:tcPr>
            <w:tcW w:w="3760" w:type="dxa"/>
            <w:vAlign w:val="bottom"/>
            <w:shd w:val="clear" w:color="auto" w:fill="1E8083"/>
          </w:tcPr>
          <w:p>
            <w:pPr>
              <w:spacing w:after="0"/>
              <w:rPr>
                <w:sz w:val="24"/>
                <w:szCs w:val="24"/>
                <w:color w:val="auto"/>
              </w:rPr>
            </w:pPr>
          </w:p>
        </w:tc>
        <w:tc>
          <w:tcPr>
            <w:tcW w:w="6100" w:type="dxa"/>
            <w:vAlign w:val="bottom"/>
            <w:shd w:val="clear" w:color="auto" w:fill="1E8083"/>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540"/>
        <w:spacing w:after="0" w:line="372" w:lineRule="exact"/>
        <w:rPr>
          <w:sz w:val="20"/>
          <w:szCs w:val="20"/>
          <w:color w:val="auto"/>
        </w:rPr>
      </w:pPr>
      <w:r>
        <w:rPr>
          <w:rFonts w:ascii="Microsoft YaHei" w:cs="Microsoft YaHei" w:eastAsia="Microsoft YaHei" w:hAnsi="Microsoft YaHei"/>
          <w:sz w:val="28"/>
          <w:szCs w:val="28"/>
          <w:color w:val="08788C"/>
        </w:rPr>
        <w:t>学员反馈</w:t>
      </w:r>
      <w:r>
        <w:rPr>
          <w:rFonts w:ascii="Calibri" w:cs="Calibri" w:eastAsia="Calibri" w:hAnsi="Calibri"/>
          <w:sz w:val="22"/>
          <w:szCs w:val="22"/>
          <w:color w:val="4B545C"/>
        </w:rPr>
        <w:t xml:space="preserve"> FEEDBACKS</w:t>
      </w:r>
    </w:p>
    <w:p>
      <w:pPr>
        <w:spacing w:after="0" w:line="200" w:lineRule="exact"/>
        <w:rPr>
          <w:sz w:val="20"/>
          <w:szCs w:val="20"/>
          <w:color w:val="auto"/>
        </w:rPr>
      </w:pPr>
    </w:p>
    <w:p>
      <w:pPr>
        <w:spacing w:after="0" w:line="241" w:lineRule="exact"/>
        <w:rPr>
          <w:sz w:val="20"/>
          <w:szCs w:val="20"/>
          <w:color w:val="auto"/>
        </w:rPr>
      </w:pPr>
    </w:p>
    <w:p>
      <w:pPr>
        <w:ind w:left="560" w:right="600"/>
        <w:spacing w:after="0" w:line="343" w:lineRule="exact"/>
        <w:rPr>
          <w:sz w:val="20"/>
          <w:szCs w:val="20"/>
          <w:color w:val="auto"/>
        </w:rPr>
      </w:pPr>
      <w:r>
        <w:rPr>
          <w:rFonts w:ascii="Microsoft YaHei" w:cs="Microsoft YaHei" w:eastAsia="Microsoft YaHei" w:hAnsi="Microsoft YaHei"/>
          <w:sz w:val="22"/>
          <w:szCs w:val="22"/>
          <w:color w:val="auto"/>
        </w:rPr>
        <w:t>本课程对投后管理解析透彻，并能全面联系投前的</w:t>
      </w:r>
      <w:r>
        <w:rPr>
          <w:rFonts w:ascii="Century Gothic" w:cs="Century Gothic" w:eastAsia="Century Gothic" w:hAnsi="Century Gothic"/>
          <w:sz w:val="22"/>
          <w:szCs w:val="22"/>
          <w:color w:val="auto"/>
        </w:rPr>
        <w:t>8</w:t>
      </w:r>
      <w:r>
        <w:rPr>
          <w:rFonts w:ascii="Microsoft YaHei" w:cs="Microsoft YaHei" w:eastAsia="Microsoft YaHei" w:hAnsi="Microsoft YaHei"/>
          <w:sz w:val="22"/>
          <w:szCs w:val="22"/>
          <w:color w:val="auto"/>
        </w:rPr>
        <w:t>个步骤，对于投资并购的风控有极强的指导作用！</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560" w:right="380"/>
        <w:spacing w:after="0" w:line="340" w:lineRule="exact"/>
        <w:rPr>
          <w:sz w:val="20"/>
          <w:szCs w:val="20"/>
          <w:color w:val="auto"/>
        </w:rPr>
      </w:pPr>
      <w:r>
        <w:rPr>
          <w:rFonts w:ascii="Microsoft YaHei" w:cs="Microsoft YaHei" w:eastAsia="Microsoft YaHei" w:hAnsi="Microsoft YaHei"/>
          <w:sz w:val="22"/>
          <w:szCs w:val="22"/>
          <w:color w:val="auto"/>
        </w:rPr>
        <w:t>讲师经验丰富，对于产业投资并购及并购后的整合管理有很深入的研究和丰富的实操经验，讲课生动风趣，能够将前沿的理论与丰富的案例及方法结合，听课有很多启发。</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560" w:right="600"/>
        <w:spacing w:after="0" w:line="340" w:lineRule="exact"/>
        <w:rPr>
          <w:sz w:val="20"/>
          <w:szCs w:val="20"/>
          <w:color w:val="auto"/>
        </w:rPr>
      </w:pPr>
      <w:r>
        <w:rPr>
          <w:rFonts w:ascii="Microsoft YaHei" w:cs="Microsoft YaHei" w:eastAsia="Microsoft YaHei" w:hAnsi="Microsoft YaHei"/>
          <w:sz w:val="22"/>
          <w:szCs w:val="22"/>
          <w:color w:val="auto"/>
        </w:rPr>
        <w:t>讲课内容非常稀缺，非常珍贵，从安越老师职业生涯实践中来，对我们投后管理工作极具有指导意义。</w:t>
      </w: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ind w:left="560" w:right="600"/>
        <w:spacing w:after="0" w:line="340" w:lineRule="exact"/>
        <w:rPr>
          <w:sz w:val="20"/>
          <w:szCs w:val="20"/>
          <w:color w:val="auto"/>
        </w:rPr>
      </w:pPr>
      <w:r>
        <w:rPr>
          <w:rFonts w:ascii="Microsoft YaHei" w:cs="Microsoft YaHei" w:eastAsia="Microsoft YaHei" w:hAnsi="Microsoft YaHei"/>
          <w:sz w:val="22"/>
          <w:szCs w:val="22"/>
          <w:color w:val="auto"/>
        </w:rPr>
        <w:t>通过培训，了解了更多业界的做法，以及中间可能碰到的坑，在实际操作层面有很好的指导意义。</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47625</wp:posOffset>
                </wp:positionH>
                <wp:positionV relativeFrom="paragraph">
                  <wp:posOffset>834390</wp:posOffset>
                </wp:positionV>
                <wp:extent cx="624522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45225" cy="4763"/>
                        </a:xfrm>
                        <a:prstGeom prst="line">
                          <a:avLst/>
                        </a:prstGeom>
                        <a:solidFill>
                          <a:srgbClr val="FFFFFF"/>
                        </a:solidFill>
                        <a:ln w="12192">
                          <a:solidFill>
                            <a:srgbClr val="08788C"/>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5pt,65.7pt" to="495.5pt,65.7pt" o:allowincell="f" strokecolor="#08788C" strokeweight="0.96pt"/>
            </w:pict>
          </mc:Fallback>
        </mc:AlternateContent>
      </w:r>
    </w:p>
    <w:p>
      <w:pPr>
        <w:sectPr>
          <w:pgSz w:w="10800" w:h="15600" w:orient="portrait"/>
          <w:cols w:equalWidth="0" w:num="1">
            <w:col w:w="9940"/>
          </w:cols>
          <w:pgMar w:left="400" w:top="1440" w:right="4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spacing w:after="0" w:line="229" w:lineRule="exact"/>
        <w:tabs>
          <w:tab w:leader="none" w:pos="8080" w:val="left"/>
        </w:tabs>
        <w:rPr>
          <w:sz w:val="20"/>
          <w:szCs w:val="20"/>
          <w:color w:val="auto"/>
        </w:rPr>
      </w:pPr>
      <w:r>
        <w:rPr>
          <w:rFonts w:ascii="Microsoft JhengHei UI Light" w:cs="Microsoft JhengHei UI Light" w:eastAsia="Microsoft JhengHei UI Light" w:hAnsi="Microsoft JhengHei UI Light"/>
          <w:sz w:val="18"/>
          <w:szCs w:val="18"/>
          <w:color w:val="auto"/>
        </w:rPr>
        <w:t>《股权投资与并购的投后管理》</w:t>
      </w:r>
      <w:r>
        <w:rPr>
          <w:sz w:val="20"/>
          <w:szCs w:val="20"/>
          <w:color w:val="auto"/>
        </w:rPr>
        <w:tab/>
      </w:r>
      <w:r>
        <w:rPr>
          <w:rFonts w:ascii="Microsoft JhengHei UI Light" w:cs="Microsoft JhengHei UI Light" w:eastAsia="Microsoft JhengHei UI Light" w:hAnsi="Microsoft JhengHei UI Light"/>
          <w:sz w:val="18"/>
          <w:szCs w:val="18"/>
          <w:color w:val="auto"/>
        </w:rPr>
        <w:t>选择安越因为专业 02</w:t>
      </w:r>
    </w:p>
    <w:p>
      <w:pPr>
        <w:sectPr>
          <w:pgSz w:w="10800" w:h="15600" w:orient="portrait"/>
          <w:cols w:equalWidth="0" w:num="1">
            <w:col w:w="9940"/>
          </w:cols>
          <w:pgMar w:left="400" w:top="1440" w:right="460" w:bottom="0" w:gutter="0" w:footer="0" w:header="0"/>
          <w:type w:val="continuous"/>
        </w:sectPr>
      </w:pPr>
    </w:p>
    <w:bookmarkStart w:id="3" w:name="page4"/>
    <w:bookmarkEnd w:id="3"/>
    <w:p>
      <w:pPr>
        <w:ind w:left="580"/>
        <w:spacing w:after="0" w:line="372" w:lineRule="exact"/>
        <w:rPr>
          <w:sz w:val="20"/>
          <w:szCs w:val="20"/>
          <w:color w:val="auto"/>
        </w:rPr>
      </w:pPr>
      <w:r>
        <w:rPr>
          <w:rFonts w:ascii="Microsoft YaHei" w:cs="Microsoft YaHei" w:eastAsia="Microsoft YaHei" w:hAnsi="Microsoft YaHei"/>
          <w:sz w:val="28"/>
          <w:szCs w:val="28"/>
          <w:color w:val="FFFFFF"/>
        </w:rPr>
        <w:drawing>
          <wp:anchor simplePos="0" relativeHeight="251657728" behindDoc="1" locked="0" layoutInCell="0" allowOverlap="1">
            <wp:simplePos x="0" y="0"/>
            <wp:positionH relativeFrom="page">
              <wp:posOffset>301625</wp:posOffset>
            </wp:positionH>
            <wp:positionV relativeFrom="page">
              <wp:posOffset>280670</wp:posOffset>
            </wp:positionV>
            <wp:extent cx="6245225" cy="89154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6245225" cy="8915400"/>
                    </a:xfrm>
                    <a:prstGeom prst="rect">
                      <a:avLst/>
                    </a:prstGeom>
                    <a:noFill/>
                  </pic:spPr>
                </pic:pic>
              </a:graphicData>
            </a:graphic>
          </wp:anchor>
        </w:drawing>
        <w:t>课程内容</w:t>
      </w:r>
      <w:r>
        <w:rPr>
          <w:rFonts w:ascii="Calibri" w:cs="Calibri" w:eastAsia="Calibri" w:hAnsi="Calibri"/>
          <w:sz w:val="28"/>
          <w:szCs w:val="28"/>
          <w:color w:val="FFFFFF"/>
        </w:rPr>
        <w:t xml:space="preserve"> / </w:t>
      </w:r>
      <w:r>
        <w:rPr>
          <w:rFonts w:ascii="Calibri" w:cs="Calibri" w:eastAsia="Calibri" w:hAnsi="Calibri"/>
          <w:sz w:val="19"/>
          <w:szCs w:val="19"/>
          <w:color w:val="FFFFFF"/>
        </w:rPr>
        <w:t>COURSE CONTENT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840"/>
        <w:spacing w:after="0" w:line="476" w:lineRule="exact"/>
        <w:rPr>
          <w:sz w:val="20"/>
          <w:szCs w:val="20"/>
          <w:color w:val="auto"/>
        </w:rPr>
      </w:pPr>
      <w:r>
        <w:rPr>
          <w:rFonts w:ascii="Microsoft YaHei" w:cs="Microsoft YaHei" w:eastAsia="Microsoft YaHei" w:hAnsi="Microsoft YaHei"/>
          <w:sz w:val="36"/>
          <w:szCs w:val="36"/>
          <w:b w:val="1"/>
          <w:bCs w:val="1"/>
          <w:color w:val="08788C"/>
        </w:rPr>
        <w:t>第一模块：股权投后管理综述</w:t>
      </w:r>
    </w:p>
    <w:p>
      <w:pPr>
        <w:spacing w:after="0" w:line="243" w:lineRule="exact"/>
        <w:rPr>
          <w:sz w:val="20"/>
          <w:szCs w:val="20"/>
          <w:color w:val="auto"/>
        </w:rPr>
      </w:pPr>
    </w:p>
    <w:p>
      <w:pPr>
        <w:ind w:left="1100" w:hanging="264"/>
        <w:spacing w:after="0" w:line="291" w:lineRule="exact"/>
        <w:tabs>
          <w:tab w:leader="none" w:pos="1100" w:val="left"/>
        </w:tabs>
        <w:numPr>
          <w:ilvl w:val="0"/>
          <w:numId w:val="2"/>
        </w:numPr>
        <w:rPr>
          <w:rFonts w:ascii="Arial" w:cs="Arial" w:eastAsia="Arial" w:hAnsi="Arial"/>
          <w:sz w:val="16"/>
          <w:szCs w:val="16"/>
          <w:color w:val="221E1F"/>
        </w:rPr>
      </w:pPr>
      <w:r>
        <w:rPr>
          <w:rFonts w:ascii="Microsoft YaHei" w:cs="Microsoft YaHei" w:eastAsia="Microsoft YaHei" w:hAnsi="Microsoft YaHei"/>
          <w:sz w:val="22"/>
          <w:szCs w:val="22"/>
          <w:color w:val="221E1F"/>
        </w:rPr>
        <w:t>不同投资性质（如战投与财投）的投后业务经营及公司治理模式的差别</w:t>
      </w:r>
    </w:p>
    <w:p>
      <w:pPr>
        <w:spacing w:after="0" w:line="105" w:lineRule="exact"/>
        <w:rPr>
          <w:rFonts w:ascii="Arial" w:cs="Arial" w:eastAsia="Arial" w:hAnsi="Arial"/>
          <w:sz w:val="16"/>
          <w:szCs w:val="16"/>
          <w:color w:val="221E1F"/>
        </w:rPr>
      </w:pPr>
    </w:p>
    <w:p>
      <w:pPr>
        <w:ind w:left="1100" w:hanging="264"/>
        <w:spacing w:after="0" w:line="291" w:lineRule="exact"/>
        <w:tabs>
          <w:tab w:leader="none" w:pos="1100" w:val="left"/>
        </w:tabs>
        <w:numPr>
          <w:ilvl w:val="0"/>
          <w:numId w:val="2"/>
        </w:numPr>
        <w:rPr>
          <w:rFonts w:ascii="Arial" w:cs="Arial" w:eastAsia="Arial" w:hAnsi="Arial"/>
          <w:sz w:val="16"/>
          <w:szCs w:val="16"/>
          <w:color w:val="221E1F"/>
        </w:rPr>
      </w:pPr>
      <w:r>
        <w:rPr>
          <w:rFonts w:ascii="Microsoft YaHei" w:cs="Microsoft YaHei" w:eastAsia="Microsoft YaHei" w:hAnsi="Microsoft YaHei"/>
          <w:sz w:val="22"/>
          <w:szCs w:val="22"/>
          <w:color w:val="221E1F"/>
        </w:rPr>
        <w:t>常见股权比例设置对投后业务经营及公司治理的权益差异</w:t>
      </w:r>
    </w:p>
    <w:p>
      <w:pPr>
        <w:spacing w:after="0" w:line="105" w:lineRule="exact"/>
        <w:rPr>
          <w:rFonts w:ascii="Arial" w:cs="Arial" w:eastAsia="Arial" w:hAnsi="Arial"/>
          <w:sz w:val="16"/>
          <w:szCs w:val="16"/>
          <w:color w:val="221E1F"/>
        </w:rPr>
      </w:pPr>
    </w:p>
    <w:p>
      <w:pPr>
        <w:ind w:left="1100" w:hanging="264"/>
        <w:spacing w:after="0" w:line="291" w:lineRule="exact"/>
        <w:tabs>
          <w:tab w:leader="none" w:pos="1100" w:val="left"/>
        </w:tabs>
        <w:numPr>
          <w:ilvl w:val="0"/>
          <w:numId w:val="2"/>
        </w:numPr>
        <w:rPr>
          <w:rFonts w:ascii="Arial" w:cs="Arial" w:eastAsia="Arial" w:hAnsi="Arial"/>
          <w:sz w:val="16"/>
          <w:szCs w:val="16"/>
          <w:color w:val="221E1F"/>
        </w:rPr>
      </w:pPr>
      <w:r>
        <w:rPr>
          <w:rFonts w:ascii="Microsoft YaHei" w:cs="Microsoft YaHei" w:eastAsia="Microsoft YaHei" w:hAnsi="Microsoft YaHei"/>
          <w:sz w:val="22"/>
          <w:szCs w:val="22"/>
          <w:color w:val="221E1F"/>
        </w:rPr>
        <w:t>某些特殊股权比例对投后公司经营治理的影响</w:t>
      </w:r>
    </w:p>
    <w:p>
      <w:pPr>
        <w:spacing w:after="0" w:line="105" w:lineRule="exact"/>
        <w:rPr>
          <w:rFonts w:ascii="Arial" w:cs="Arial" w:eastAsia="Arial" w:hAnsi="Arial"/>
          <w:sz w:val="16"/>
          <w:szCs w:val="16"/>
          <w:color w:val="221E1F"/>
        </w:rPr>
      </w:pPr>
    </w:p>
    <w:p>
      <w:pPr>
        <w:ind w:left="1100" w:hanging="264"/>
        <w:spacing w:after="0" w:line="291" w:lineRule="exact"/>
        <w:tabs>
          <w:tab w:leader="none" w:pos="1100" w:val="left"/>
        </w:tabs>
        <w:numPr>
          <w:ilvl w:val="0"/>
          <w:numId w:val="2"/>
        </w:numPr>
        <w:rPr>
          <w:rFonts w:ascii="Arial" w:cs="Arial" w:eastAsia="Arial" w:hAnsi="Arial"/>
          <w:sz w:val="16"/>
          <w:szCs w:val="16"/>
          <w:color w:val="221E1F"/>
        </w:rPr>
      </w:pPr>
      <w:r>
        <w:rPr>
          <w:rFonts w:ascii="Microsoft YaHei" w:cs="Microsoft YaHei" w:eastAsia="Microsoft YaHei" w:hAnsi="Microsoft YaHei"/>
          <w:sz w:val="22"/>
          <w:szCs w:val="22"/>
          <w:color w:val="221E1F"/>
        </w:rPr>
        <w:t>混淆战投与财投对投后风控的负面影响</w:t>
      </w:r>
    </w:p>
    <w:p>
      <w:pPr>
        <w:spacing w:after="0" w:line="105" w:lineRule="exact"/>
        <w:rPr>
          <w:rFonts w:ascii="Arial" w:cs="Arial" w:eastAsia="Arial" w:hAnsi="Arial"/>
          <w:sz w:val="16"/>
          <w:szCs w:val="16"/>
          <w:color w:val="221E1F"/>
        </w:rPr>
      </w:pPr>
    </w:p>
    <w:p>
      <w:pPr>
        <w:ind w:left="1100" w:hanging="264"/>
        <w:spacing w:after="0" w:line="291" w:lineRule="exact"/>
        <w:tabs>
          <w:tab w:leader="none" w:pos="1100" w:val="left"/>
        </w:tabs>
        <w:numPr>
          <w:ilvl w:val="0"/>
          <w:numId w:val="2"/>
        </w:numPr>
        <w:rPr>
          <w:rFonts w:ascii="Arial" w:cs="Arial" w:eastAsia="Arial" w:hAnsi="Arial"/>
          <w:sz w:val="16"/>
          <w:szCs w:val="16"/>
          <w:color w:val="221E1F"/>
        </w:rPr>
      </w:pPr>
      <w:r>
        <w:rPr>
          <w:rFonts w:ascii="Microsoft YaHei" w:cs="Microsoft YaHei" w:eastAsia="Microsoft YaHei" w:hAnsi="Microsoft YaHei"/>
          <w:sz w:val="22"/>
          <w:szCs w:val="22"/>
          <w:color w:val="221E1F"/>
        </w:rPr>
        <w:t>并购后的整合管理对并购成败的影响</w:t>
      </w:r>
    </w:p>
    <w:p>
      <w:pPr>
        <w:spacing w:after="0" w:line="105" w:lineRule="exact"/>
        <w:rPr>
          <w:rFonts w:ascii="Arial" w:cs="Arial" w:eastAsia="Arial" w:hAnsi="Arial"/>
          <w:sz w:val="16"/>
          <w:szCs w:val="16"/>
          <w:color w:val="221E1F"/>
        </w:rPr>
      </w:pPr>
    </w:p>
    <w:p>
      <w:pPr>
        <w:ind w:left="1820" w:hanging="264"/>
        <w:spacing w:after="0" w:line="291" w:lineRule="exact"/>
        <w:tabs>
          <w:tab w:leader="none" w:pos="1820" w:val="left"/>
        </w:tabs>
        <w:numPr>
          <w:ilvl w:val="1"/>
          <w:numId w:val="2"/>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整合的战略意义以及对并购成败的影响</w:t>
      </w:r>
    </w:p>
    <w:p>
      <w:pPr>
        <w:spacing w:after="0" w:line="105" w:lineRule="exact"/>
        <w:rPr>
          <w:rFonts w:ascii="Courier New" w:cs="Courier New" w:eastAsia="Courier New" w:hAnsi="Courier New"/>
          <w:sz w:val="16"/>
          <w:szCs w:val="16"/>
          <w:color w:val="595757"/>
        </w:rPr>
      </w:pPr>
    </w:p>
    <w:p>
      <w:pPr>
        <w:ind w:left="1820" w:hanging="264"/>
        <w:spacing w:after="0" w:line="291" w:lineRule="exact"/>
        <w:tabs>
          <w:tab w:leader="none" w:pos="1820" w:val="left"/>
        </w:tabs>
        <w:numPr>
          <w:ilvl w:val="1"/>
          <w:numId w:val="2"/>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中企在业务整合及公司治理等环节的常见问题</w:t>
      </w:r>
    </w:p>
    <w:p>
      <w:pPr>
        <w:spacing w:after="0" w:line="105" w:lineRule="exact"/>
        <w:rPr>
          <w:rFonts w:ascii="Courier New" w:cs="Courier New" w:eastAsia="Courier New" w:hAnsi="Courier New"/>
          <w:sz w:val="16"/>
          <w:szCs w:val="16"/>
          <w:color w:val="595757"/>
        </w:rPr>
      </w:pPr>
    </w:p>
    <w:p>
      <w:pPr>
        <w:ind w:left="1820" w:hanging="264"/>
        <w:spacing w:after="0" w:line="291" w:lineRule="exact"/>
        <w:tabs>
          <w:tab w:leader="none" w:pos="1820" w:val="left"/>
        </w:tabs>
        <w:numPr>
          <w:ilvl w:val="1"/>
          <w:numId w:val="2"/>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中企整合失败的主要因素</w:t>
      </w:r>
    </w:p>
    <w:p>
      <w:pPr>
        <w:spacing w:after="0" w:line="105" w:lineRule="exact"/>
        <w:rPr>
          <w:rFonts w:ascii="Courier New" w:cs="Courier New" w:eastAsia="Courier New" w:hAnsi="Courier New"/>
          <w:sz w:val="16"/>
          <w:szCs w:val="16"/>
          <w:color w:val="595757"/>
        </w:rPr>
      </w:pPr>
    </w:p>
    <w:p>
      <w:pPr>
        <w:ind w:left="1100" w:hanging="264"/>
        <w:spacing w:after="0" w:line="291" w:lineRule="exact"/>
        <w:tabs>
          <w:tab w:leader="none" w:pos="1100" w:val="left"/>
        </w:tabs>
        <w:numPr>
          <w:ilvl w:val="0"/>
          <w:numId w:val="2"/>
        </w:numPr>
        <w:rPr>
          <w:rFonts w:ascii="Arial" w:cs="Arial" w:eastAsia="Arial" w:hAnsi="Arial"/>
          <w:sz w:val="16"/>
          <w:szCs w:val="16"/>
          <w:color w:val="221E1F"/>
        </w:rPr>
      </w:pPr>
      <w:r>
        <w:rPr>
          <w:rFonts w:ascii="Microsoft YaHei" w:cs="Microsoft YaHei" w:eastAsia="Microsoft YaHei" w:hAnsi="Microsoft YaHei"/>
          <w:sz w:val="22"/>
          <w:szCs w:val="22"/>
          <w:color w:val="221E1F"/>
        </w:rPr>
        <w:t>整合团队的构成</w:t>
      </w:r>
    </w:p>
    <w:p>
      <w:pPr>
        <w:spacing w:after="0" w:line="105" w:lineRule="exact"/>
        <w:rPr>
          <w:rFonts w:ascii="Arial" w:cs="Arial" w:eastAsia="Arial" w:hAnsi="Arial"/>
          <w:sz w:val="16"/>
          <w:szCs w:val="16"/>
          <w:color w:val="221E1F"/>
        </w:rPr>
      </w:pPr>
    </w:p>
    <w:p>
      <w:pPr>
        <w:ind w:left="1820" w:hanging="264"/>
        <w:spacing w:after="0" w:line="291" w:lineRule="exact"/>
        <w:tabs>
          <w:tab w:leader="none" w:pos="1820" w:val="left"/>
        </w:tabs>
        <w:numPr>
          <w:ilvl w:val="1"/>
          <w:numId w:val="2"/>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收购方的内部团队组合及外部团队</w:t>
      </w:r>
    </w:p>
    <w:p>
      <w:pPr>
        <w:spacing w:after="0" w:line="105" w:lineRule="exact"/>
        <w:rPr>
          <w:rFonts w:ascii="Courier New" w:cs="Courier New" w:eastAsia="Courier New" w:hAnsi="Courier New"/>
          <w:sz w:val="16"/>
          <w:szCs w:val="16"/>
          <w:color w:val="595757"/>
        </w:rPr>
      </w:pPr>
    </w:p>
    <w:p>
      <w:pPr>
        <w:ind w:left="1820" w:hanging="264"/>
        <w:spacing w:after="0" w:line="291" w:lineRule="exact"/>
        <w:tabs>
          <w:tab w:leader="none" w:pos="1820" w:val="left"/>
        </w:tabs>
        <w:numPr>
          <w:ilvl w:val="1"/>
          <w:numId w:val="2"/>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投方合理搭建内部三层管理框架及分工</w:t>
      </w:r>
    </w:p>
    <w:p>
      <w:pPr>
        <w:spacing w:after="0" w:line="105" w:lineRule="exact"/>
        <w:rPr>
          <w:rFonts w:ascii="Courier New" w:cs="Courier New" w:eastAsia="Courier New" w:hAnsi="Courier New"/>
          <w:sz w:val="16"/>
          <w:szCs w:val="16"/>
          <w:color w:val="595757"/>
        </w:rPr>
      </w:pPr>
    </w:p>
    <w:p>
      <w:pPr>
        <w:ind w:left="1820" w:hanging="264"/>
        <w:spacing w:after="0" w:line="291" w:lineRule="exact"/>
        <w:tabs>
          <w:tab w:leader="none" w:pos="1820" w:val="left"/>
        </w:tabs>
        <w:numPr>
          <w:ilvl w:val="1"/>
          <w:numId w:val="2"/>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目标团队的期望心理沟通</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840"/>
        <w:spacing w:after="0" w:line="462" w:lineRule="exact"/>
        <w:rPr>
          <w:sz w:val="20"/>
          <w:szCs w:val="20"/>
          <w:color w:val="auto"/>
        </w:rPr>
      </w:pPr>
      <w:r>
        <w:rPr>
          <w:rFonts w:ascii="Microsoft YaHei" w:cs="Microsoft YaHei" w:eastAsia="Microsoft YaHei" w:hAnsi="Microsoft YaHei"/>
          <w:sz w:val="35"/>
          <w:szCs w:val="35"/>
          <w:b w:val="1"/>
          <w:bCs w:val="1"/>
          <w:color w:val="08788C"/>
        </w:rPr>
        <w:t>第二模块：并购流程与项目管理对整合的巨大影响</w:t>
      </w:r>
    </w:p>
    <w:p>
      <w:pPr>
        <w:spacing w:after="0" w:line="246" w:lineRule="exact"/>
        <w:rPr>
          <w:sz w:val="20"/>
          <w:szCs w:val="20"/>
          <w:color w:val="auto"/>
        </w:rPr>
      </w:pPr>
    </w:p>
    <w:p>
      <w:pPr>
        <w:ind w:left="1100" w:hanging="269"/>
        <w:spacing w:after="0" w:line="291" w:lineRule="exact"/>
        <w:tabs>
          <w:tab w:leader="none" w:pos="1100" w:val="left"/>
        </w:tabs>
        <w:numPr>
          <w:ilvl w:val="0"/>
          <w:numId w:val="3"/>
        </w:numPr>
        <w:rPr>
          <w:rFonts w:ascii="Arial" w:cs="Arial" w:eastAsia="Arial" w:hAnsi="Arial"/>
          <w:sz w:val="16"/>
          <w:szCs w:val="16"/>
          <w:color w:val="221E1F"/>
        </w:rPr>
      </w:pPr>
      <w:r>
        <w:rPr>
          <w:rFonts w:ascii="Microsoft YaHei" w:cs="Microsoft YaHei" w:eastAsia="Microsoft YaHei" w:hAnsi="Microsoft YaHei"/>
          <w:sz w:val="22"/>
          <w:szCs w:val="22"/>
          <w:color w:val="221E1F"/>
        </w:rPr>
        <w:t>投前与投后对接与管理模式差异</w:t>
      </w:r>
    </w:p>
    <w:p>
      <w:pPr>
        <w:spacing w:after="0" w:line="105" w:lineRule="exact"/>
        <w:rPr>
          <w:rFonts w:ascii="Arial" w:cs="Arial" w:eastAsia="Arial" w:hAnsi="Arial"/>
          <w:sz w:val="16"/>
          <w:szCs w:val="16"/>
          <w:color w:val="221E1F"/>
        </w:rPr>
      </w:pPr>
    </w:p>
    <w:p>
      <w:pPr>
        <w:ind w:left="1820" w:hanging="269"/>
        <w:spacing w:after="0" w:line="291" w:lineRule="exact"/>
        <w:tabs>
          <w:tab w:leader="none" w:pos="1820" w:val="left"/>
        </w:tabs>
        <w:numPr>
          <w:ilvl w:val="1"/>
          <w:numId w:val="3"/>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对接工作中的常见问题及对投前工作不足的弥补</w:t>
      </w:r>
    </w:p>
    <w:p>
      <w:pPr>
        <w:spacing w:after="0" w:line="105" w:lineRule="exact"/>
        <w:rPr>
          <w:rFonts w:ascii="Courier New" w:cs="Courier New" w:eastAsia="Courier New" w:hAnsi="Courier New"/>
          <w:sz w:val="16"/>
          <w:szCs w:val="16"/>
          <w:color w:val="595757"/>
        </w:rPr>
      </w:pPr>
    </w:p>
    <w:p>
      <w:pPr>
        <w:ind w:left="1820" w:hanging="269"/>
        <w:spacing w:after="0" w:line="291" w:lineRule="exact"/>
        <w:tabs>
          <w:tab w:leader="none" w:pos="1820" w:val="left"/>
        </w:tabs>
        <w:numPr>
          <w:ilvl w:val="1"/>
          <w:numId w:val="3"/>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业务模式转变对目标组织架构公司治理的影响</w:t>
      </w:r>
    </w:p>
    <w:p>
      <w:pPr>
        <w:spacing w:after="0" w:line="105" w:lineRule="exact"/>
        <w:rPr>
          <w:rFonts w:ascii="Courier New" w:cs="Courier New" w:eastAsia="Courier New" w:hAnsi="Courier New"/>
          <w:sz w:val="16"/>
          <w:szCs w:val="16"/>
          <w:color w:val="595757"/>
        </w:rPr>
      </w:pPr>
    </w:p>
    <w:p>
      <w:pPr>
        <w:ind w:left="1820" w:hanging="269"/>
        <w:spacing w:after="0" w:line="291" w:lineRule="exact"/>
        <w:tabs>
          <w:tab w:leader="none" w:pos="1820" w:val="left"/>
        </w:tabs>
        <w:numPr>
          <w:ilvl w:val="1"/>
          <w:numId w:val="3"/>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多元化并购的挑战及案例分析</w:t>
      </w:r>
    </w:p>
    <w:p>
      <w:pPr>
        <w:spacing w:after="0" w:line="105" w:lineRule="exact"/>
        <w:rPr>
          <w:rFonts w:ascii="Courier New" w:cs="Courier New" w:eastAsia="Courier New" w:hAnsi="Courier New"/>
          <w:sz w:val="16"/>
          <w:szCs w:val="16"/>
          <w:color w:val="595757"/>
        </w:rPr>
      </w:pPr>
    </w:p>
    <w:p>
      <w:pPr>
        <w:ind w:left="1100" w:hanging="269"/>
        <w:spacing w:after="0" w:line="291" w:lineRule="exact"/>
        <w:tabs>
          <w:tab w:leader="none" w:pos="1100" w:val="left"/>
        </w:tabs>
        <w:numPr>
          <w:ilvl w:val="0"/>
          <w:numId w:val="3"/>
        </w:numPr>
        <w:rPr>
          <w:rFonts w:ascii="Arial" w:cs="Arial" w:eastAsia="Arial" w:hAnsi="Arial"/>
          <w:sz w:val="16"/>
          <w:szCs w:val="16"/>
          <w:color w:val="221E1F"/>
        </w:rPr>
      </w:pPr>
      <w:r>
        <w:rPr>
          <w:rFonts w:ascii="Microsoft YaHei" w:cs="Microsoft YaHei" w:eastAsia="Microsoft YaHei" w:hAnsi="Microsoft YaHei"/>
          <w:sz w:val="22"/>
          <w:szCs w:val="22"/>
          <w:color w:val="221E1F"/>
        </w:rPr>
        <w:t>实体整合及组织架构重建</w:t>
      </w:r>
    </w:p>
    <w:p>
      <w:pPr>
        <w:spacing w:after="0" w:line="105" w:lineRule="exact"/>
        <w:rPr>
          <w:rFonts w:ascii="Arial" w:cs="Arial" w:eastAsia="Arial" w:hAnsi="Arial"/>
          <w:sz w:val="16"/>
          <w:szCs w:val="16"/>
          <w:color w:val="221E1F"/>
        </w:rPr>
      </w:pPr>
    </w:p>
    <w:p>
      <w:pPr>
        <w:ind w:left="1820" w:hanging="269"/>
        <w:spacing w:after="0" w:line="291" w:lineRule="exact"/>
        <w:tabs>
          <w:tab w:leader="none" w:pos="1820" w:val="left"/>
        </w:tabs>
        <w:numPr>
          <w:ilvl w:val="1"/>
          <w:numId w:val="3"/>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不同的实体整合的战略选择</w:t>
      </w:r>
    </w:p>
    <w:p>
      <w:pPr>
        <w:spacing w:after="0" w:line="105" w:lineRule="exact"/>
        <w:rPr>
          <w:rFonts w:ascii="Courier New" w:cs="Courier New" w:eastAsia="Courier New" w:hAnsi="Courier New"/>
          <w:sz w:val="16"/>
          <w:szCs w:val="16"/>
          <w:color w:val="595757"/>
        </w:rPr>
      </w:pPr>
    </w:p>
    <w:p>
      <w:pPr>
        <w:ind w:left="1820" w:hanging="269"/>
        <w:spacing w:after="0" w:line="291" w:lineRule="exact"/>
        <w:tabs>
          <w:tab w:leader="none" w:pos="1820" w:val="left"/>
        </w:tabs>
        <w:numPr>
          <w:ilvl w:val="1"/>
          <w:numId w:val="3"/>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实体整合模式对目标公司治理的影响</w:t>
      </w:r>
    </w:p>
    <w:p>
      <w:pPr>
        <w:spacing w:after="0" w:line="105" w:lineRule="exact"/>
        <w:rPr>
          <w:rFonts w:ascii="Courier New" w:cs="Courier New" w:eastAsia="Courier New" w:hAnsi="Courier New"/>
          <w:sz w:val="16"/>
          <w:szCs w:val="16"/>
          <w:color w:val="595757"/>
        </w:rPr>
      </w:pPr>
    </w:p>
    <w:p>
      <w:pPr>
        <w:ind w:left="1820" w:hanging="269"/>
        <w:spacing w:after="0" w:line="291" w:lineRule="exact"/>
        <w:tabs>
          <w:tab w:leader="none" w:pos="1820" w:val="left"/>
        </w:tabs>
        <w:numPr>
          <w:ilvl w:val="1"/>
          <w:numId w:val="3"/>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中外项目投后不同的运用</w:t>
      </w:r>
    </w:p>
    <w:p>
      <w:pPr>
        <w:spacing w:after="0" w:line="105" w:lineRule="exact"/>
        <w:rPr>
          <w:rFonts w:ascii="Courier New" w:cs="Courier New" w:eastAsia="Courier New" w:hAnsi="Courier New"/>
          <w:sz w:val="16"/>
          <w:szCs w:val="16"/>
          <w:color w:val="595757"/>
        </w:rPr>
      </w:pPr>
    </w:p>
    <w:p>
      <w:pPr>
        <w:ind w:left="1820" w:hanging="269"/>
        <w:spacing w:after="0" w:line="291" w:lineRule="exact"/>
        <w:tabs>
          <w:tab w:leader="none" w:pos="1820" w:val="left"/>
        </w:tabs>
        <w:numPr>
          <w:ilvl w:val="1"/>
          <w:numId w:val="3"/>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整合模式对双方未来业务经营的影响</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47625</wp:posOffset>
                </wp:positionH>
                <wp:positionV relativeFrom="paragraph">
                  <wp:posOffset>1153795</wp:posOffset>
                </wp:positionV>
                <wp:extent cx="624522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45225" cy="4763"/>
                        </a:xfrm>
                        <a:prstGeom prst="line">
                          <a:avLst/>
                        </a:prstGeom>
                        <a:solidFill>
                          <a:srgbClr val="FFFFFF"/>
                        </a:solidFill>
                        <a:ln w="12192">
                          <a:solidFill>
                            <a:srgbClr val="08788C"/>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5pt,90.85pt" to="495.5pt,90.85pt" o:allowincell="f" strokecolor="#08788C" strokeweight="0.96pt"/>
            </w:pict>
          </mc:Fallback>
        </mc:AlternateContent>
      </w:r>
    </w:p>
    <w:p>
      <w:pPr>
        <w:sectPr>
          <w:pgSz w:w="10800" w:h="15600" w:orient="portrait"/>
          <w:cols w:equalWidth="0" w:num="1">
            <w:col w:w="9900"/>
          </w:cols>
          <w:pgMar w:left="400" w:top="710" w:right="5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spacing w:after="0" w:line="229" w:lineRule="exact"/>
        <w:tabs>
          <w:tab w:leader="none" w:pos="8080" w:val="left"/>
        </w:tabs>
        <w:rPr>
          <w:sz w:val="20"/>
          <w:szCs w:val="20"/>
          <w:color w:val="auto"/>
        </w:rPr>
      </w:pPr>
      <w:r>
        <w:rPr>
          <w:rFonts w:ascii="Microsoft JhengHei UI Light" w:cs="Microsoft JhengHei UI Light" w:eastAsia="Microsoft JhengHei UI Light" w:hAnsi="Microsoft JhengHei UI Light"/>
          <w:sz w:val="18"/>
          <w:szCs w:val="18"/>
          <w:color w:val="auto"/>
        </w:rPr>
        <w:t>《股权投资与并购的投后管理》</w:t>
      </w:r>
      <w:r>
        <w:rPr>
          <w:sz w:val="20"/>
          <w:szCs w:val="20"/>
          <w:color w:val="auto"/>
        </w:rPr>
        <w:tab/>
      </w:r>
      <w:r>
        <w:rPr>
          <w:rFonts w:ascii="Microsoft JhengHei UI Light" w:cs="Microsoft JhengHei UI Light" w:eastAsia="Microsoft JhengHei UI Light" w:hAnsi="Microsoft JhengHei UI Light"/>
          <w:sz w:val="18"/>
          <w:szCs w:val="18"/>
          <w:color w:val="auto"/>
        </w:rPr>
        <w:t>选择安越因为专业 03</w:t>
      </w:r>
    </w:p>
    <w:p>
      <w:pPr>
        <w:sectPr>
          <w:pgSz w:w="10800" w:h="15600" w:orient="portrait"/>
          <w:cols w:equalWidth="0" w:num="1">
            <w:col w:w="9900"/>
          </w:cols>
          <w:pgMar w:left="400" w:top="710" w:right="500" w:bottom="0" w:gutter="0" w:footer="0" w:header="0"/>
          <w:type w:val="continuous"/>
        </w:sectPr>
      </w:pPr>
    </w:p>
    <w:bookmarkStart w:id="4" w:name="page5"/>
    <w:bookmarkEnd w:id="4"/>
    <w:p>
      <w:pPr>
        <w:ind w:left="580"/>
        <w:spacing w:after="0" w:line="372" w:lineRule="exact"/>
        <w:rPr>
          <w:sz w:val="20"/>
          <w:szCs w:val="20"/>
          <w:color w:val="auto"/>
        </w:rPr>
      </w:pPr>
      <w:r>
        <w:rPr>
          <w:rFonts w:ascii="Microsoft YaHei" w:cs="Microsoft YaHei" w:eastAsia="Microsoft YaHei" w:hAnsi="Microsoft YaHei"/>
          <w:sz w:val="28"/>
          <w:szCs w:val="28"/>
          <w:color w:val="FFFFFF"/>
        </w:rPr>
        <w:drawing>
          <wp:anchor simplePos="0" relativeHeight="251657728" behindDoc="1" locked="0" layoutInCell="0" allowOverlap="1">
            <wp:simplePos x="0" y="0"/>
            <wp:positionH relativeFrom="page">
              <wp:posOffset>301625</wp:posOffset>
            </wp:positionH>
            <wp:positionV relativeFrom="page">
              <wp:posOffset>280670</wp:posOffset>
            </wp:positionV>
            <wp:extent cx="6245225" cy="89154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6245225" cy="8915400"/>
                    </a:xfrm>
                    <a:prstGeom prst="rect">
                      <a:avLst/>
                    </a:prstGeom>
                    <a:noFill/>
                  </pic:spPr>
                </pic:pic>
              </a:graphicData>
            </a:graphic>
          </wp:anchor>
        </w:drawing>
        <w:t>课程内容</w:t>
      </w:r>
      <w:r>
        <w:rPr>
          <w:rFonts w:ascii="Calibri" w:cs="Calibri" w:eastAsia="Calibri" w:hAnsi="Calibri"/>
          <w:sz w:val="28"/>
          <w:szCs w:val="28"/>
          <w:color w:val="FFFFFF"/>
        </w:rPr>
        <w:t xml:space="preserve"> / </w:t>
      </w:r>
      <w:r>
        <w:rPr>
          <w:rFonts w:ascii="Calibri" w:cs="Calibri" w:eastAsia="Calibri" w:hAnsi="Calibri"/>
          <w:sz w:val="19"/>
          <w:szCs w:val="19"/>
          <w:color w:val="FFFFFF"/>
        </w:rPr>
        <w:t>COURSE CONTENT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ind w:left="1100" w:hanging="269"/>
        <w:spacing w:after="0" w:line="291" w:lineRule="exact"/>
        <w:tabs>
          <w:tab w:leader="none" w:pos="1100" w:val="left"/>
        </w:tabs>
        <w:numPr>
          <w:ilvl w:val="0"/>
          <w:numId w:val="4"/>
        </w:numPr>
        <w:rPr>
          <w:rFonts w:ascii="Arial" w:cs="Arial" w:eastAsia="Arial" w:hAnsi="Arial"/>
          <w:sz w:val="16"/>
          <w:szCs w:val="16"/>
          <w:color w:val="221E1F"/>
        </w:rPr>
      </w:pPr>
      <w:r>
        <w:rPr>
          <w:rFonts w:ascii="Microsoft YaHei" w:cs="Microsoft YaHei" w:eastAsia="Microsoft YaHei" w:hAnsi="Microsoft YaHei"/>
          <w:sz w:val="22"/>
          <w:szCs w:val="22"/>
          <w:color w:val="221E1F"/>
        </w:rPr>
        <w:t>业务模式重组及管理流程的投后整合工作</w:t>
      </w:r>
    </w:p>
    <w:p>
      <w:pPr>
        <w:spacing w:after="0" w:line="105" w:lineRule="exact"/>
        <w:rPr>
          <w:rFonts w:ascii="Arial" w:cs="Arial" w:eastAsia="Arial" w:hAnsi="Arial"/>
          <w:sz w:val="16"/>
          <w:szCs w:val="16"/>
          <w:color w:val="221E1F"/>
        </w:rPr>
      </w:pPr>
    </w:p>
    <w:p>
      <w:pPr>
        <w:ind w:left="1820" w:hanging="269"/>
        <w:spacing w:after="0" w:line="291" w:lineRule="exact"/>
        <w:tabs>
          <w:tab w:leader="none" w:pos="1820" w:val="left"/>
        </w:tabs>
        <w:numPr>
          <w:ilvl w:val="1"/>
          <w:numId w:val="4"/>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业务模式改变对协同效应的实现、管理流程及团队架构重组的影响</w:t>
      </w:r>
    </w:p>
    <w:p>
      <w:pPr>
        <w:spacing w:after="0" w:line="111" w:lineRule="exact"/>
        <w:rPr>
          <w:rFonts w:ascii="Courier New" w:cs="Courier New" w:eastAsia="Courier New" w:hAnsi="Courier New"/>
          <w:sz w:val="16"/>
          <w:szCs w:val="16"/>
          <w:color w:val="595757"/>
        </w:rPr>
      </w:pPr>
    </w:p>
    <w:p>
      <w:pPr>
        <w:ind w:left="1820" w:hanging="269"/>
        <w:spacing w:after="0" w:line="278" w:lineRule="exact"/>
        <w:tabs>
          <w:tab w:leader="none" w:pos="1820" w:val="left"/>
        </w:tabs>
        <w:numPr>
          <w:ilvl w:val="1"/>
          <w:numId w:val="4"/>
        </w:numPr>
        <w:rPr>
          <w:rFonts w:ascii="Courier New" w:cs="Courier New" w:eastAsia="Courier New" w:hAnsi="Courier New"/>
          <w:sz w:val="15"/>
          <w:szCs w:val="15"/>
          <w:color w:val="595757"/>
        </w:rPr>
      </w:pPr>
      <w:r>
        <w:rPr>
          <w:rFonts w:ascii="Microsoft YaHei" w:cs="Microsoft YaHei" w:eastAsia="Microsoft YaHei" w:hAnsi="Microsoft YaHei"/>
          <w:sz w:val="21"/>
          <w:szCs w:val="21"/>
          <w:color w:val="595757"/>
        </w:rPr>
        <w:t>董事会重建、公司治理、业务合规、财务、人力资源等环节整合工作描述与风</w:t>
      </w:r>
    </w:p>
    <w:p>
      <w:pPr>
        <w:spacing w:after="0" w:line="113" w:lineRule="exact"/>
        <w:rPr>
          <w:rFonts w:ascii="Courier New" w:cs="Courier New" w:eastAsia="Courier New" w:hAnsi="Courier New"/>
          <w:sz w:val="15"/>
          <w:szCs w:val="15"/>
          <w:color w:val="595757"/>
        </w:rPr>
      </w:pPr>
    </w:p>
    <w:p>
      <w:pPr>
        <w:ind w:left="1820"/>
        <w:spacing w:after="0" w:line="291" w:lineRule="exact"/>
        <w:rPr>
          <w:rFonts w:ascii="Courier New" w:cs="Courier New" w:eastAsia="Courier New" w:hAnsi="Courier New"/>
          <w:sz w:val="15"/>
          <w:szCs w:val="15"/>
          <w:color w:val="595757"/>
        </w:rPr>
      </w:pPr>
      <w:r>
        <w:rPr>
          <w:rFonts w:ascii="Microsoft YaHei" w:cs="Microsoft YaHei" w:eastAsia="Microsoft YaHei" w:hAnsi="Microsoft YaHei"/>
          <w:sz w:val="22"/>
          <w:szCs w:val="22"/>
          <w:color w:val="595757"/>
        </w:rPr>
        <w:t>控</w:t>
      </w:r>
    </w:p>
    <w:p>
      <w:pPr>
        <w:spacing w:after="0" w:line="111" w:lineRule="exact"/>
        <w:rPr>
          <w:rFonts w:ascii="Courier New" w:cs="Courier New" w:eastAsia="Courier New" w:hAnsi="Courier New"/>
          <w:sz w:val="15"/>
          <w:szCs w:val="15"/>
          <w:color w:val="595757"/>
        </w:rPr>
      </w:pPr>
    </w:p>
    <w:p>
      <w:pPr>
        <w:ind w:left="1820" w:right="600" w:hanging="269"/>
        <w:spacing w:after="0" w:line="340" w:lineRule="exact"/>
        <w:tabs>
          <w:tab w:leader="none" w:pos="1820" w:val="left"/>
        </w:tabs>
        <w:numPr>
          <w:ilvl w:val="1"/>
          <w:numId w:val="4"/>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08788C"/>
        </w:rPr>
        <w:t>强调突出公司董事会重建及大小股东权责、组织架构任命和人员留任处置、合规管控、财务内控及授权、投融资决策等环节</w:t>
      </w:r>
    </w:p>
    <w:p>
      <w:pPr>
        <w:spacing w:after="0" w:line="106" w:lineRule="exact"/>
        <w:rPr>
          <w:rFonts w:ascii="Courier New" w:cs="Courier New" w:eastAsia="Courier New" w:hAnsi="Courier New"/>
          <w:sz w:val="16"/>
          <w:szCs w:val="16"/>
          <w:color w:val="595757"/>
        </w:rPr>
      </w:pPr>
    </w:p>
    <w:p>
      <w:pPr>
        <w:ind w:left="1820" w:hanging="269"/>
        <w:spacing w:after="0" w:line="291" w:lineRule="exact"/>
        <w:tabs>
          <w:tab w:leader="none" w:pos="1820" w:val="left"/>
        </w:tabs>
        <w:numPr>
          <w:ilvl w:val="1"/>
          <w:numId w:val="4"/>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投方与目标公司在组织架构、岗位及授权的更换调整</w:t>
      </w:r>
    </w:p>
    <w:p>
      <w:pPr>
        <w:spacing w:after="0" w:line="105" w:lineRule="exact"/>
        <w:rPr>
          <w:rFonts w:ascii="Courier New" w:cs="Courier New" w:eastAsia="Courier New" w:hAnsi="Courier New"/>
          <w:sz w:val="16"/>
          <w:szCs w:val="16"/>
          <w:color w:val="595757"/>
        </w:rPr>
      </w:pPr>
    </w:p>
    <w:p>
      <w:pPr>
        <w:ind w:left="1820" w:hanging="269"/>
        <w:spacing w:after="0" w:line="291" w:lineRule="exact"/>
        <w:tabs>
          <w:tab w:leader="none" w:pos="1820" w:val="left"/>
        </w:tabs>
        <w:numPr>
          <w:ilvl w:val="1"/>
          <w:numId w:val="4"/>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财投投后管理与战投</w:t>
      </w:r>
      <w:r>
        <w:rPr>
          <w:rFonts w:ascii="Century Gothic" w:cs="Century Gothic" w:eastAsia="Century Gothic" w:hAnsi="Century Gothic"/>
          <w:sz w:val="22"/>
          <w:szCs w:val="22"/>
          <w:color w:val="595757"/>
        </w:rPr>
        <w:t>/</w:t>
      </w:r>
      <w:r>
        <w:rPr>
          <w:rFonts w:ascii="Microsoft YaHei" w:cs="Microsoft YaHei" w:eastAsia="Microsoft YaHei" w:hAnsi="Microsoft YaHei"/>
          <w:sz w:val="22"/>
          <w:szCs w:val="22"/>
          <w:color w:val="595757"/>
        </w:rPr>
        <w:t>并购的差异</w:t>
      </w:r>
    </w:p>
    <w:p>
      <w:pPr>
        <w:spacing w:after="0" w:line="105" w:lineRule="exact"/>
        <w:rPr>
          <w:rFonts w:ascii="Courier New" w:cs="Courier New" w:eastAsia="Courier New" w:hAnsi="Courier New"/>
          <w:sz w:val="16"/>
          <w:szCs w:val="16"/>
          <w:color w:val="595757"/>
        </w:rPr>
      </w:pPr>
    </w:p>
    <w:p>
      <w:pPr>
        <w:ind w:left="1100" w:hanging="269"/>
        <w:spacing w:after="0" w:line="291" w:lineRule="exact"/>
        <w:tabs>
          <w:tab w:leader="none" w:pos="1100" w:val="left"/>
        </w:tabs>
        <w:numPr>
          <w:ilvl w:val="0"/>
          <w:numId w:val="4"/>
        </w:numPr>
        <w:rPr>
          <w:rFonts w:ascii="Arial" w:cs="Arial" w:eastAsia="Arial" w:hAnsi="Arial"/>
          <w:sz w:val="16"/>
          <w:szCs w:val="16"/>
          <w:color w:val="221E1F"/>
        </w:rPr>
      </w:pPr>
      <w:r>
        <w:rPr>
          <w:rFonts w:ascii="Microsoft YaHei" w:cs="Microsoft YaHei" w:eastAsia="Microsoft YaHei" w:hAnsi="Microsoft YaHei"/>
          <w:sz w:val="22"/>
          <w:szCs w:val="22"/>
          <w:color w:val="221E1F"/>
        </w:rPr>
        <w:t>投后管理的规划及监控</w:t>
      </w:r>
    </w:p>
    <w:p>
      <w:pPr>
        <w:spacing w:after="0" w:line="105" w:lineRule="exact"/>
        <w:rPr>
          <w:rFonts w:ascii="Arial" w:cs="Arial" w:eastAsia="Arial" w:hAnsi="Arial"/>
          <w:sz w:val="16"/>
          <w:szCs w:val="16"/>
          <w:color w:val="221E1F"/>
        </w:rPr>
      </w:pPr>
    </w:p>
    <w:p>
      <w:pPr>
        <w:ind w:left="1820" w:hanging="269"/>
        <w:spacing w:after="0" w:line="291" w:lineRule="exact"/>
        <w:tabs>
          <w:tab w:leader="none" w:pos="1820" w:val="left"/>
        </w:tabs>
        <w:numPr>
          <w:ilvl w:val="1"/>
          <w:numId w:val="4"/>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收购后整合的流程规划、预算、业务及协同业绩</w:t>
      </w:r>
    </w:p>
    <w:p>
      <w:pPr>
        <w:spacing w:after="0" w:line="105" w:lineRule="exact"/>
        <w:rPr>
          <w:rFonts w:ascii="Courier New" w:cs="Courier New" w:eastAsia="Courier New" w:hAnsi="Courier New"/>
          <w:sz w:val="16"/>
          <w:szCs w:val="16"/>
          <w:color w:val="595757"/>
        </w:rPr>
      </w:pPr>
    </w:p>
    <w:p>
      <w:pPr>
        <w:ind w:left="1820" w:hanging="269"/>
        <w:spacing w:after="0" w:line="291" w:lineRule="exact"/>
        <w:tabs>
          <w:tab w:leader="none" w:pos="1820" w:val="left"/>
        </w:tabs>
        <w:numPr>
          <w:ilvl w:val="1"/>
          <w:numId w:val="4"/>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投资方常见的监控权利与方法</w:t>
      </w:r>
    </w:p>
    <w:p>
      <w:pPr>
        <w:spacing w:after="0" w:line="105" w:lineRule="exact"/>
        <w:rPr>
          <w:rFonts w:ascii="Courier New" w:cs="Courier New" w:eastAsia="Courier New" w:hAnsi="Courier New"/>
          <w:sz w:val="16"/>
          <w:szCs w:val="16"/>
          <w:color w:val="595757"/>
        </w:rPr>
      </w:pPr>
    </w:p>
    <w:p>
      <w:pPr>
        <w:ind w:left="1820" w:hanging="269"/>
        <w:spacing w:after="0" w:line="291" w:lineRule="exact"/>
        <w:tabs>
          <w:tab w:leader="none" w:pos="1820" w:val="left"/>
        </w:tabs>
        <w:numPr>
          <w:ilvl w:val="1"/>
          <w:numId w:val="4"/>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早期及高新科技公司的投后监督管理</w:t>
      </w:r>
    </w:p>
    <w:p>
      <w:pPr>
        <w:spacing w:after="0" w:line="105" w:lineRule="exact"/>
        <w:rPr>
          <w:rFonts w:ascii="Courier New" w:cs="Courier New" w:eastAsia="Courier New" w:hAnsi="Courier New"/>
          <w:sz w:val="16"/>
          <w:szCs w:val="16"/>
          <w:color w:val="595757"/>
        </w:rPr>
      </w:pPr>
    </w:p>
    <w:p>
      <w:pPr>
        <w:ind w:left="1100" w:hanging="269"/>
        <w:spacing w:after="0" w:line="291" w:lineRule="exact"/>
        <w:tabs>
          <w:tab w:leader="none" w:pos="1100" w:val="left"/>
        </w:tabs>
        <w:numPr>
          <w:ilvl w:val="0"/>
          <w:numId w:val="4"/>
        </w:numPr>
        <w:rPr>
          <w:rFonts w:ascii="Arial" w:cs="Arial" w:eastAsia="Arial" w:hAnsi="Arial"/>
          <w:sz w:val="16"/>
          <w:szCs w:val="16"/>
          <w:color w:val="221E1F"/>
        </w:rPr>
      </w:pPr>
      <w:r>
        <w:rPr>
          <w:rFonts w:ascii="Microsoft YaHei" w:cs="Microsoft YaHei" w:eastAsia="Microsoft YaHei" w:hAnsi="Microsoft YaHei"/>
          <w:sz w:val="22"/>
          <w:szCs w:val="22"/>
          <w:color w:val="221E1F"/>
        </w:rPr>
        <w:t>整合阶段警告新高及善后管理</w:t>
      </w:r>
    </w:p>
    <w:p>
      <w:pPr>
        <w:spacing w:after="0" w:line="105" w:lineRule="exact"/>
        <w:rPr>
          <w:rFonts w:ascii="Arial" w:cs="Arial" w:eastAsia="Arial" w:hAnsi="Arial"/>
          <w:sz w:val="16"/>
          <w:szCs w:val="16"/>
          <w:color w:val="221E1F"/>
        </w:rPr>
      </w:pPr>
    </w:p>
    <w:p>
      <w:pPr>
        <w:ind w:left="1820" w:hanging="269"/>
        <w:spacing w:after="0" w:line="291" w:lineRule="exact"/>
        <w:tabs>
          <w:tab w:leader="none" w:pos="1820" w:val="left"/>
        </w:tabs>
        <w:numPr>
          <w:ilvl w:val="1"/>
          <w:numId w:val="4"/>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投后及整合期间的常见危险信号及后果</w:t>
      </w:r>
    </w:p>
    <w:p>
      <w:pPr>
        <w:spacing w:after="0" w:line="105" w:lineRule="exact"/>
        <w:rPr>
          <w:rFonts w:ascii="Courier New" w:cs="Courier New" w:eastAsia="Courier New" w:hAnsi="Courier New"/>
          <w:sz w:val="16"/>
          <w:szCs w:val="16"/>
          <w:color w:val="595757"/>
        </w:rPr>
      </w:pPr>
    </w:p>
    <w:p>
      <w:pPr>
        <w:ind w:left="1820" w:hanging="269"/>
        <w:spacing w:after="0" w:line="291" w:lineRule="exact"/>
        <w:tabs>
          <w:tab w:leader="none" w:pos="1820" w:val="left"/>
        </w:tabs>
        <w:numPr>
          <w:ilvl w:val="1"/>
          <w:numId w:val="4"/>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善后管理的常见选择方式</w:t>
      </w:r>
    </w:p>
    <w:p>
      <w:pPr>
        <w:spacing w:after="0" w:line="105" w:lineRule="exact"/>
        <w:rPr>
          <w:rFonts w:ascii="Courier New" w:cs="Courier New" w:eastAsia="Courier New" w:hAnsi="Courier New"/>
          <w:sz w:val="16"/>
          <w:szCs w:val="16"/>
          <w:color w:val="595757"/>
        </w:rPr>
      </w:pPr>
    </w:p>
    <w:p>
      <w:pPr>
        <w:ind w:left="1820" w:hanging="269"/>
        <w:spacing w:after="0" w:line="291" w:lineRule="exact"/>
        <w:tabs>
          <w:tab w:leader="none" w:pos="1820" w:val="left"/>
        </w:tabs>
        <w:numPr>
          <w:ilvl w:val="1"/>
          <w:numId w:val="4"/>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并购、战投与财投的善后方式及时机把控</w:t>
      </w:r>
    </w:p>
    <w:p>
      <w:pPr>
        <w:spacing w:after="0" w:line="105" w:lineRule="exact"/>
        <w:rPr>
          <w:rFonts w:ascii="Courier New" w:cs="Courier New" w:eastAsia="Courier New" w:hAnsi="Courier New"/>
          <w:sz w:val="16"/>
          <w:szCs w:val="16"/>
          <w:color w:val="595757"/>
        </w:rPr>
      </w:pPr>
    </w:p>
    <w:p>
      <w:pPr>
        <w:ind w:left="1820" w:hanging="269"/>
        <w:spacing w:after="0" w:line="291" w:lineRule="exact"/>
        <w:tabs>
          <w:tab w:leader="none" w:pos="1820" w:val="left"/>
        </w:tabs>
        <w:numPr>
          <w:ilvl w:val="1"/>
          <w:numId w:val="4"/>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善后对优化业务资产、不良剥离、国有资产保值增值等的战略影响</w:t>
      </w:r>
    </w:p>
    <w:p>
      <w:pPr>
        <w:spacing w:after="0" w:line="105" w:lineRule="exact"/>
        <w:rPr>
          <w:rFonts w:ascii="Courier New" w:cs="Courier New" w:eastAsia="Courier New" w:hAnsi="Courier New"/>
          <w:sz w:val="16"/>
          <w:szCs w:val="16"/>
          <w:color w:val="595757"/>
        </w:rPr>
      </w:pPr>
    </w:p>
    <w:p>
      <w:pPr>
        <w:ind w:left="1100" w:hanging="269"/>
        <w:spacing w:after="0" w:line="291" w:lineRule="exact"/>
        <w:tabs>
          <w:tab w:leader="none" w:pos="1100" w:val="left"/>
        </w:tabs>
        <w:numPr>
          <w:ilvl w:val="0"/>
          <w:numId w:val="4"/>
        </w:numPr>
        <w:rPr>
          <w:rFonts w:ascii="Arial" w:cs="Arial" w:eastAsia="Arial" w:hAnsi="Arial"/>
          <w:sz w:val="16"/>
          <w:szCs w:val="16"/>
          <w:color w:val="221E1F"/>
        </w:rPr>
      </w:pPr>
      <w:r>
        <w:rPr>
          <w:rFonts w:ascii="Microsoft YaHei" w:cs="Microsoft YaHei" w:eastAsia="Microsoft YaHei" w:hAnsi="Microsoft YaHei"/>
          <w:sz w:val="22"/>
          <w:szCs w:val="22"/>
          <w:color w:val="221E1F"/>
        </w:rPr>
        <w:t>如何尽可能消除文化因素的巨大影响</w:t>
      </w:r>
    </w:p>
    <w:p>
      <w:pPr>
        <w:spacing w:after="0" w:line="105" w:lineRule="exact"/>
        <w:rPr>
          <w:rFonts w:ascii="Arial" w:cs="Arial" w:eastAsia="Arial" w:hAnsi="Arial"/>
          <w:sz w:val="16"/>
          <w:szCs w:val="16"/>
          <w:color w:val="221E1F"/>
        </w:rPr>
      </w:pPr>
    </w:p>
    <w:p>
      <w:pPr>
        <w:ind w:left="1820" w:hanging="269"/>
        <w:spacing w:after="0" w:line="291" w:lineRule="exact"/>
        <w:tabs>
          <w:tab w:leader="none" w:pos="1820" w:val="left"/>
        </w:tabs>
        <w:numPr>
          <w:ilvl w:val="1"/>
          <w:numId w:val="4"/>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企业文化：最难驾驭的风险因素</w:t>
      </w:r>
    </w:p>
    <w:p>
      <w:pPr>
        <w:spacing w:after="0" w:line="105" w:lineRule="exact"/>
        <w:rPr>
          <w:rFonts w:ascii="Courier New" w:cs="Courier New" w:eastAsia="Courier New" w:hAnsi="Courier New"/>
          <w:sz w:val="16"/>
          <w:szCs w:val="16"/>
          <w:color w:val="595757"/>
        </w:rPr>
      </w:pPr>
    </w:p>
    <w:p>
      <w:pPr>
        <w:ind w:left="1820" w:hanging="269"/>
        <w:spacing w:after="0" w:line="291" w:lineRule="exact"/>
        <w:tabs>
          <w:tab w:leader="none" w:pos="1820" w:val="left"/>
        </w:tabs>
        <w:numPr>
          <w:ilvl w:val="1"/>
          <w:numId w:val="4"/>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三层文化因素的冲击</w:t>
      </w:r>
    </w:p>
    <w:p>
      <w:pPr>
        <w:spacing w:after="0" w:line="105" w:lineRule="exact"/>
        <w:rPr>
          <w:rFonts w:ascii="Courier New" w:cs="Courier New" w:eastAsia="Courier New" w:hAnsi="Courier New"/>
          <w:sz w:val="16"/>
          <w:szCs w:val="16"/>
          <w:color w:val="595757"/>
        </w:rPr>
      </w:pPr>
    </w:p>
    <w:p>
      <w:pPr>
        <w:ind w:left="1820" w:hanging="269"/>
        <w:spacing w:after="0" w:line="291" w:lineRule="exact"/>
        <w:tabs>
          <w:tab w:leader="none" w:pos="1820" w:val="left"/>
        </w:tabs>
        <w:numPr>
          <w:ilvl w:val="1"/>
          <w:numId w:val="4"/>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对变革管理、双方团队资源维护与沟通的全方位挑战</w:t>
      </w:r>
    </w:p>
    <w:p>
      <w:pPr>
        <w:spacing w:after="0" w:line="105" w:lineRule="exact"/>
        <w:rPr>
          <w:rFonts w:ascii="Courier New" w:cs="Courier New" w:eastAsia="Courier New" w:hAnsi="Courier New"/>
          <w:sz w:val="16"/>
          <w:szCs w:val="16"/>
          <w:color w:val="595757"/>
        </w:rPr>
      </w:pPr>
    </w:p>
    <w:p>
      <w:pPr>
        <w:ind w:left="1100" w:hanging="269"/>
        <w:spacing w:after="0" w:line="291" w:lineRule="exact"/>
        <w:tabs>
          <w:tab w:leader="none" w:pos="1100" w:val="left"/>
        </w:tabs>
        <w:numPr>
          <w:ilvl w:val="0"/>
          <w:numId w:val="4"/>
        </w:numPr>
        <w:rPr>
          <w:rFonts w:ascii="Arial" w:cs="Arial" w:eastAsia="Arial" w:hAnsi="Arial"/>
          <w:sz w:val="16"/>
          <w:szCs w:val="16"/>
          <w:color w:val="221E1F"/>
        </w:rPr>
      </w:pPr>
      <w:r>
        <w:rPr>
          <w:rFonts w:ascii="Microsoft YaHei" w:cs="Microsoft YaHei" w:eastAsia="Microsoft YaHei" w:hAnsi="Microsoft YaHei"/>
          <w:sz w:val="22"/>
          <w:szCs w:val="22"/>
          <w:color w:val="221E1F"/>
        </w:rPr>
        <w:t>整合管理案例</w:t>
      </w:r>
    </w:p>
    <w:p>
      <w:pPr>
        <w:spacing w:after="0" w:line="105" w:lineRule="exact"/>
        <w:rPr>
          <w:rFonts w:ascii="Arial" w:cs="Arial" w:eastAsia="Arial" w:hAnsi="Arial"/>
          <w:sz w:val="16"/>
          <w:szCs w:val="16"/>
          <w:color w:val="221E1F"/>
        </w:rPr>
      </w:pPr>
    </w:p>
    <w:p>
      <w:pPr>
        <w:ind w:left="1820" w:hanging="269"/>
        <w:spacing w:after="0" w:line="291" w:lineRule="exact"/>
        <w:tabs>
          <w:tab w:leader="none" w:pos="1820" w:val="left"/>
        </w:tabs>
        <w:numPr>
          <w:ilvl w:val="1"/>
          <w:numId w:val="4"/>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国内外公开大型案例成败分析（联想等）</w:t>
      </w:r>
    </w:p>
    <w:p>
      <w:pPr>
        <w:spacing w:after="0" w:line="105" w:lineRule="exact"/>
        <w:rPr>
          <w:rFonts w:ascii="Courier New" w:cs="Courier New" w:eastAsia="Courier New" w:hAnsi="Courier New"/>
          <w:sz w:val="16"/>
          <w:szCs w:val="16"/>
          <w:color w:val="595757"/>
        </w:rPr>
      </w:pPr>
    </w:p>
    <w:p>
      <w:pPr>
        <w:ind w:left="1820" w:hanging="269"/>
        <w:spacing w:after="0" w:line="291" w:lineRule="exact"/>
        <w:tabs>
          <w:tab w:leader="none" w:pos="1820" w:val="left"/>
        </w:tabs>
        <w:numPr>
          <w:ilvl w:val="1"/>
          <w:numId w:val="4"/>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职能管理流程整合的案例分析</w:t>
      </w:r>
    </w:p>
    <w:p>
      <w:pPr>
        <w:spacing w:after="0" w:line="105" w:lineRule="exact"/>
        <w:rPr>
          <w:rFonts w:ascii="Courier New" w:cs="Courier New" w:eastAsia="Courier New" w:hAnsi="Courier New"/>
          <w:sz w:val="16"/>
          <w:szCs w:val="16"/>
          <w:color w:val="595757"/>
        </w:rPr>
      </w:pPr>
    </w:p>
    <w:p>
      <w:pPr>
        <w:ind w:left="1100" w:hanging="269"/>
        <w:spacing w:after="0" w:line="291" w:lineRule="exact"/>
        <w:tabs>
          <w:tab w:leader="none" w:pos="1100" w:val="left"/>
        </w:tabs>
        <w:numPr>
          <w:ilvl w:val="0"/>
          <w:numId w:val="4"/>
        </w:numPr>
        <w:rPr>
          <w:rFonts w:ascii="Arial" w:cs="Arial" w:eastAsia="Arial" w:hAnsi="Arial"/>
          <w:sz w:val="16"/>
          <w:szCs w:val="16"/>
          <w:color w:val="221E1F"/>
        </w:rPr>
      </w:pPr>
      <w:r>
        <w:rPr>
          <w:rFonts w:ascii="Microsoft YaHei" w:cs="Microsoft YaHei" w:eastAsia="Microsoft YaHei" w:hAnsi="Microsoft YaHei"/>
          <w:sz w:val="22"/>
          <w:szCs w:val="22"/>
          <w:color w:val="221E1F"/>
        </w:rPr>
        <w:t>前期评估工作及流程对投后整合的影响</w:t>
      </w:r>
    </w:p>
    <w:p>
      <w:pPr>
        <w:spacing w:after="0" w:line="105" w:lineRule="exact"/>
        <w:rPr>
          <w:rFonts w:ascii="Arial" w:cs="Arial" w:eastAsia="Arial" w:hAnsi="Arial"/>
          <w:sz w:val="16"/>
          <w:szCs w:val="16"/>
          <w:color w:val="221E1F"/>
        </w:rPr>
      </w:pPr>
    </w:p>
    <w:p>
      <w:pPr>
        <w:ind w:left="1820" w:hanging="269"/>
        <w:spacing w:after="0" w:line="291" w:lineRule="exact"/>
        <w:tabs>
          <w:tab w:leader="none" w:pos="1820" w:val="left"/>
        </w:tabs>
        <w:numPr>
          <w:ilvl w:val="1"/>
          <w:numId w:val="4"/>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每个流程环节对投后的影响</w:t>
      </w:r>
    </w:p>
    <w:p>
      <w:pPr>
        <w:spacing w:after="0" w:line="105" w:lineRule="exact"/>
        <w:rPr>
          <w:rFonts w:ascii="Courier New" w:cs="Courier New" w:eastAsia="Courier New" w:hAnsi="Courier New"/>
          <w:sz w:val="16"/>
          <w:szCs w:val="16"/>
          <w:color w:val="595757"/>
        </w:rPr>
      </w:pPr>
    </w:p>
    <w:p>
      <w:pPr>
        <w:ind w:left="1820" w:hanging="269"/>
        <w:spacing w:after="0" w:line="291" w:lineRule="exact"/>
        <w:tabs>
          <w:tab w:leader="none" w:pos="1820" w:val="left"/>
        </w:tabs>
        <w:numPr>
          <w:ilvl w:val="1"/>
          <w:numId w:val="4"/>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投前项目管理流程优化与投后风险管控</w:t>
      </w:r>
    </w:p>
    <w:p>
      <w:pPr>
        <w:spacing w:after="0" w:line="105" w:lineRule="exact"/>
        <w:rPr>
          <w:rFonts w:ascii="Courier New" w:cs="Courier New" w:eastAsia="Courier New" w:hAnsi="Courier New"/>
          <w:sz w:val="16"/>
          <w:szCs w:val="16"/>
          <w:color w:val="595757"/>
        </w:rPr>
      </w:pPr>
    </w:p>
    <w:p>
      <w:pPr>
        <w:ind w:left="1820" w:hanging="269"/>
        <w:spacing w:after="0" w:line="291" w:lineRule="exact"/>
        <w:tabs>
          <w:tab w:leader="none" w:pos="1820" w:val="left"/>
        </w:tabs>
        <w:numPr>
          <w:ilvl w:val="1"/>
          <w:numId w:val="4"/>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相关案例分析：投前工作对投后整合风控的影响</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47625</wp:posOffset>
                </wp:positionH>
                <wp:positionV relativeFrom="paragraph">
                  <wp:posOffset>1087755</wp:posOffset>
                </wp:positionV>
                <wp:extent cx="624522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45225" cy="4763"/>
                        </a:xfrm>
                        <a:prstGeom prst="line">
                          <a:avLst/>
                        </a:prstGeom>
                        <a:solidFill>
                          <a:srgbClr val="FFFFFF"/>
                        </a:solidFill>
                        <a:ln w="12192">
                          <a:solidFill>
                            <a:srgbClr val="08788C"/>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5pt,85.65pt" to="495.5pt,85.65pt" o:allowincell="f" strokecolor="#08788C" strokeweight="0.96pt"/>
            </w:pict>
          </mc:Fallback>
        </mc:AlternateContent>
      </w:r>
    </w:p>
    <w:p>
      <w:pPr>
        <w:sectPr>
          <w:pgSz w:w="10800" w:h="15600" w:orient="portrait"/>
          <w:cols w:equalWidth="0" w:num="1">
            <w:col w:w="9900"/>
          </w:cols>
          <w:pgMar w:left="400" w:top="710" w:right="5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spacing w:after="0" w:line="229" w:lineRule="exact"/>
        <w:tabs>
          <w:tab w:leader="none" w:pos="8080" w:val="left"/>
        </w:tabs>
        <w:rPr>
          <w:sz w:val="20"/>
          <w:szCs w:val="20"/>
          <w:color w:val="auto"/>
        </w:rPr>
      </w:pPr>
      <w:r>
        <w:rPr>
          <w:rFonts w:ascii="Microsoft JhengHei UI Light" w:cs="Microsoft JhengHei UI Light" w:eastAsia="Microsoft JhengHei UI Light" w:hAnsi="Microsoft JhengHei UI Light"/>
          <w:sz w:val="18"/>
          <w:szCs w:val="18"/>
          <w:color w:val="auto"/>
        </w:rPr>
        <w:t>《股权投资与并购的投后管理》</w:t>
      </w:r>
      <w:r>
        <w:rPr>
          <w:sz w:val="20"/>
          <w:szCs w:val="20"/>
          <w:color w:val="auto"/>
        </w:rPr>
        <w:tab/>
      </w:r>
      <w:r>
        <w:rPr>
          <w:rFonts w:ascii="Microsoft JhengHei UI Light" w:cs="Microsoft JhengHei UI Light" w:eastAsia="Microsoft JhengHei UI Light" w:hAnsi="Microsoft JhengHei UI Light"/>
          <w:sz w:val="18"/>
          <w:szCs w:val="18"/>
          <w:color w:val="auto"/>
        </w:rPr>
        <w:t>选择安越因为专业 04</w:t>
      </w:r>
    </w:p>
    <w:p>
      <w:pPr>
        <w:sectPr>
          <w:pgSz w:w="10800" w:h="15600" w:orient="portrait"/>
          <w:cols w:equalWidth="0" w:num="1">
            <w:col w:w="9900"/>
          </w:cols>
          <w:pgMar w:left="400" w:top="710" w:right="500" w:bottom="0" w:gutter="0" w:footer="0" w:header="0"/>
          <w:type w:val="continuous"/>
        </w:sectPr>
      </w:pPr>
    </w:p>
    <w:bookmarkStart w:id="5" w:name="page6"/>
    <w:bookmarkEnd w:id="5"/>
    <w:p>
      <w:pPr>
        <w:ind w:left="520"/>
        <w:spacing w:after="0" w:line="370" w:lineRule="exact"/>
        <w:rPr>
          <w:sz w:val="20"/>
          <w:szCs w:val="20"/>
          <w:color w:val="auto"/>
        </w:rPr>
      </w:pPr>
      <w:r>
        <w:rPr>
          <w:rFonts w:ascii="Microsoft YaHei" w:cs="Microsoft YaHei" w:eastAsia="Microsoft YaHei" w:hAnsi="Microsoft YaHei"/>
          <w:sz w:val="28"/>
          <w:szCs w:val="28"/>
          <w:color w:val="FFFFFF"/>
        </w:rPr>
        <w:t>击</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-253365</wp:posOffset>
            </wp:positionH>
            <wp:positionV relativeFrom="paragraph">
              <wp:posOffset>-107950</wp:posOffset>
            </wp:positionV>
            <wp:extent cx="6858000" cy="26562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extLst>
                    </a:blip>
                    <a:srcRect/>
                    <a:stretch>
                      <a:fillRect/>
                    </a:stretch>
                  </pic:blipFill>
                  <pic:spPr bwMode="auto">
                    <a:xfrm>
                      <a:off x="0" y="0"/>
                      <a:ext cx="6858000" cy="2656205"/>
                    </a:xfrm>
                    <a:prstGeom prst="rect">
                      <a:avLst/>
                    </a:prstGeom>
                    <a:noFill/>
                  </pic:spPr>
                </pic:pic>
              </a:graphicData>
            </a:graphic>
          </wp:anchor>
        </w:drawing>
      </w:r>
    </w:p>
    <w:p>
      <w:pPr>
        <w:ind w:left="520"/>
        <w:spacing w:after="0" w:line="342" w:lineRule="exact"/>
        <w:rPr>
          <w:sz w:val="20"/>
          <w:szCs w:val="20"/>
          <w:color w:val="auto"/>
        </w:rPr>
      </w:pPr>
      <w:r>
        <w:rPr>
          <w:rFonts w:ascii="Microsoft YaHei" w:cs="Microsoft YaHei" w:eastAsia="Microsoft YaHei" w:hAnsi="Microsoft YaHei"/>
          <w:sz w:val="28"/>
          <w:szCs w:val="28"/>
          <w:color w:val="FFFFFF"/>
        </w:rPr>
        <w:t>直</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tbl>
      <w:tblPr>
        <w:tblLayout w:type="fixed"/>
        <w:tblInd w:w="631" w:type="dxa"/>
        <w:tblCellMar>
          <w:top w:w="0" w:type="dxa"/>
          <w:left w:w="0" w:type="dxa"/>
          <w:bottom w:w="0" w:type="dxa"/>
          <w:right w:w="0" w:type="dxa"/>
        </w:tblCellMar>
      </w:tblPr>
      <w:tr>
        <w:trPr>
          <w:trHeight w:val="1080"/>
        </w:trPr>
        <w:tc>
          <w:tcPr>
            <w:tcW w:w="293" w:type="dxa"/>
            <w:vAlign w:val="bottom"/>
            <w:textDirection w:val="tbRl"/>
          </w:tcPr>
          <w:p>
            <w:pPr>
              <w:spacing w:after="0"/>
              <w:rPr>
                <w:sz w:val="20"/>
                <w:szCs w:val="20"/>
                <w:color w:val="auto"/>
              </w:rPr>
            </w:pPr>
            <w:r>
              <w:rPr>
                <w:rFonts w:ascii="Calibri" w:cs="Calibri" w:eastAsia="Calibri" w:hAnsi="Calibri"/>
                <w:sz w:val="24"/>
                <w:szCs w:val="24"/>
                <w:color w:val="FFFFFF"/>
              </w:rPr>
              <w:t>THE SCENE</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460"/>
        <w:spacing w:after="0" w:line="356" w:lineRule="exact"/>
        <w:tabs>
          <w:tab w:leader="none" w:pos="2620" w:val="left"/>
        </w:tabs>
        <w:rPr>
          <w:sz w:val="20"/>
          <w:szCs w:val="20"/>
          <w:color w:val="auto"/>
        </w:rPr>
      </w:pPr>
      <w:r>
        <w:rPr>
          <w:rFonts w:ascii="SimSun" w:cs="SimSun" w:eastAsia="SimSun" w:hAnsi="SimSun"/>
          <w:sz w:val="28"/>
          <w:szCs w:val="28"/>
          <w:color w:val="08788C"/>
        </w:rPr>
        <w:t>国际合作及荣誉</w:t>
      </w:r>
      <w:r>
        <w:rPr>
          <w:sz w:val="20"/>
          <w:szCs w:val="20"/>
          <w:color w:val="auto"/>
        </w:rPr>
        <w:tab/>
      </w:r>
      <w:r>
        <w:rPr>
          <w:rFonts w:ascii="Calibri" w:cs="Calibri" w:eastAsia="Calibri" w:hAnsi="Calibri"/>
          <w:sz w:val="23"/>
          <w:szCs w:val="23"/>
          <w:color w:val="A6A6A6"/>
        </w:rPr>
        <w:t>WIDESPREAD PRAISE</w:t>
      </w:r>
    </w:p>
    <w:p>
      <w:pPr>
        <w:sectPr>
          <w:pgSz w:w="10800" w:h="15600" w:orient="portrait"/>
          <w:cols w:equalWidth="0" w:num="1">
            <w:col w:w="9900"/>
          </w:cols>
          <w:pgMar w:left="400" w:top="1008" w:right="5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480"/>
        <w:spacing w:after="0" w:line="291" w:lineRule="exact"/>
        <w:rPr>
          <w:sz w:val="20"/>
          <w:szCs w:val="20"/>
          <w:color w:val="auto"/>
        </w:rPr>
      </w:pPr>
      <w:r>
        <w:rPr>
          <w:rFonts w:ascii="Microsoft YaHei" w:cs="Microsoft YaHei" w:eastAsia="Microsoft YaHei" w:hAnsi="Microsoft YaHei"/>
          <w:sz w:val="22"/>
          <w:szCs w:val="22"/>
          <w:b w:val="1"/>
          <w:bCs w:val="1"/>
          <w:color w:val="404040"/>
        </w:rPr>
        <w:t>课程获得权威认可</w:t>
      </w:r>
    </w:p>
    <w:p>
      <w:pPr>
        <w:spacing w:after="0" w:line="104" w:lineRule="exact"/>
        <w:rPr>
          <w:sz w:val="20"/>
          <w:szCs w:val="20"/>
          <w:color w:val="auto"/>
        </w:rPr>
      </w:pPr>
    </w:p>
    <w:p>
      <w:pPr>
        <w:ind w:left="480"/>
        <w:spacing w:after="0" w:line="275" w:lineRule="exact"/>
        <w:rPr>
          <w:sz w:val="20"/>
          <w:szCs w:val="20"/>
          <w:color w:val="auto"/>
        </w:rPr>
      </w:pPr>
      <w:r>
        <w:rPr>
          <w:rFonts w:ascii="Microsoft JhengHei UI Light" w:cs="Microsoft JhengHei UI Light" w:eastAsia="Microsoft JhengHei UI Light" w:hAnsi="Microsoft JhengHei UI Light"/>
          <w:sz w:val="17"/>
          <w:szCs w:val="17"/>
          <w:b w:val="1"/>
          <w:bCs w:val="1"/>
          <w:color w:val="7F7F7F"/>
        </w:rPr>
        <w:t>两度荣膺中国企业培训 “百佳精品课程” 奖两度荣膺中国企业培训 “最佳品牌课程” 奖</w:t>
      </w:r>
    </w:p>
    <w:p>
      <w:pPr>
        <w:spacing w:after="0" w:line="100" w:lineRule="exact"/>
        <w:rPr>
          <w:sz w:val="20"/>
          <w:szCs w:val="20"/>
          <w:color w:val="auto"/>
        </w:rPr>
      </w:pPr>
    </w:p>
    <w:p>
      <w:pPr>
        <w:ind w:left="480"/>
        <w:spacing w:after="0" w:line="291" w:lineRule="exact"/>
        <w:rPr>
          <w:sz w:val="20"/>
          <w:szCs w:val="20"/>
          <w:color w:val="auto"/>
        </w:rPr>
      </w:pPr>
      <w:r>
        <w:rPr>
          <w:rFonts w:ascii="Microsoft YaHei" w:cs="Microsoft YaHei" w:eastAsia="Microsoft YaHei" w:hAnsi="Microsoft YaHei"/>
          <w:sz w:val="22"/>
          <w:szCs w:val="22"/>
          <w:b w:val="1"/>
          <w:bCs w:val="1"/>
          <w:color w:val="404040"/>
        </w:rPr>
        <w:t>质量获得国际认可</w:t>
      </w:r>
    </w:p>
    <w:p>
      <w:pPr>
        <w:spacing w:after="0" w:line="102" w:lineRule="exact"/>
        <w:rPr>
          <w:sz w:val="20"/>
          <w:szCs w:val="20"/>
          <w:color w:val="auto"/>
        </w:rPr>
      </w:pPr>
    </w:p>
    <w:p>
      <w:pPr>
        <w:ind w:left="480"/>
        <w:spacing w:after="0" w:line="229" w:lineRule="exact"/>
        <w:rPr>
          <w:sz w:val="20"/>
          <w:szCs w:val="20"/>
          <w:color w:val="auto"/>
        </w:rPr>
      </w:pPr>
      <w:r>
        <w:rPr>
          <w:rFonts w:ascii="Microsoft JhengHei UI Light" w:cs="Microsoft JhengHei UI Light" w:eastAsia="Microsoft JhengHei UI Light" w:hAnsi="Microsoft JhengHei UI Light"/>
          <w:sz w:val="18"/>
          <w:szCs w:val="18"/>
          <w:color w:val="7F7F7F"/>
        </w:rPr>
        <w:t>ACCA在华首家CPD合作机构</w:t>
      </w:r>
    </w:p>
    <w:p>
      <w:pPr>
        <w:spacing w:after="0" w:line="95" w:lineRule="exact"/>
        <w:rPr>
          <w:sz w:val="20"/>
          <w:szCs w:val="20"/>
          <w:color w:val="auto"/>
        </w:rPr>
      </w:pPr>
    </w:p>
    <w:p>
      <w:pPr>
        <w:ind w:left="580" w:hanging="104"/>
        <w:spacing w:after="0" w:line="229" w:lineRule="exact"/>
        <w:tabs>
          <w:tab w:leader="none" w:pos="580" w:val="left"/>
        </w:tabs>
        <w:numPr>
          <w:ilvl w:val="0"/>
          <w:numId w:val="5"/>
        </w:numPr>
        <w:rPr>
          <w:rFonts w:ascii="Microsoft JhengHei UI Light" w:cs="Microsoft JhengHei UI Light" w:eastAsia="Microsoft JhengHei UI Light" w:hAnsi="Microsoft JhengHei UI Light"/>
          <w:sz w:val="18"/>
          <w:szCs w:val="18"/>
          <w:b w:val="1"/>
          <w:bCs w:val="1"/>
          <w:color w:val="7F7F7F"/>
        </w:rPr>
      </w:pPr>
      <w:r>
        <w:rPr>
          <w:rFonts w:ascii="Microsoft JhengHei UI Light" w:cs="Microsoft JhengHei UI Light" w:eastAsia="Microsoft JhengHei UI Light" w:hAnsi="Microsoft JhengHei UI Light"/>
          <w:sz w:val="18"/>
          <w:szCs w:val="18"/>
          <w:b w:val="1"/>
          <w:bCs w:val="1"/>
          <w:color w:val="7F7F7F"/>
        </w:rPr>
        <w:t>M A在华首家CPE合作机构</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311150</wp:posOffset>
            </wp:positionH>
            <wp:positionV relativeFrom="paragraph">
              <wp:posOffset>314325</wp:posOffset>
            </wp:positionV>
            <wp:extent cx="1622425" cy="4387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extLst>
                    </a:blip>
                    <a:srcRect/>
                    <a:stretch>
                      <a:fillRect/>
                    </a:stretch>
                  </pic:blipFill>
                  <pic:spPr bwMode="auto">
                    <a:xfrm>
                      <a:off x="0" y="0"/>
                      <a:ext cx="1622425" cy="43878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b w:val="1"/>
          <w:bCs w:val="1"/>
          <w:color w:val="404040"/>
        </w:rPr>
        <w:t>服务受到广泛赞誉</w:t>
      </w:r>
    </w:p>
    <w:p>
      <w:pPr>
        <w:spacing w:after="0" w:line="104" w:lineRule="exact"/>
        <w:rPr>
          <w:sz w:val="20"/>
          <w:szCs w:val="20"/>
          <w:color w:val="auto"/>
        </w:rPr>
      </w:pPr>
    </w:p>
    <w:p>
      <w:pPr>
        <w:jc w:val="both"/>
        <w:ind w:right="740"/>
        <w:spacing w:after="0" w:line="291" w:lineRule="exact"/>
        <w:rPr>
          <w:sz w:val="20"/>
          <w:szCs w:val="20"/>
          <w:color w:val="auto"/>
        </w:rPr>
      </w:pPr>
      <w:r>
        <w:rPr>
          <w:rFonts w:ascii="Microsoft JhengHei UI Light" w:cs="Microsoft JhengHei UI Light" w:eastAsia="Microsoft JhengHei UI Light" w:hAnsi="Microsoft JhengHei UI Light"/>
          <w:sz w:val="18"/>
          <w:szCs w:val="18"/>
          <w:b w:val="1"/>
          <w:bCs w:val="1"/>
          <w:color w:val="7F7F7F"/>
        </w:rPr>
        <w:t>两度荣获《培训》杂志“中国企业培训行业标杆品牌奖”荣获中国人才（China STAFF）“年度最佳培训公司”奖获赞“中国CFO最信赖的财务培训服务机构”</w:t>
      </w:r>
    </w:p>
    <w:p>
      <w:pPr>
        <w:spacing w:after="0" w:line="98" w:lineRule="exact"/>
        <w:rPr>
          <w:sz w:val="20"/>
          <w:szCs w:val="20"/>
          <w:color w:val="auto"/>
        </w:rPr>
      </w:pPr>
    </w:p>
    <w:p>
      <w:pPr>
        <w:spacing w:after="0" w:line="229" w:lineRule="exact"/>
        <w:rPr>
          <w:sz w:val="20"/>
          <w:szCs w:val="20"/>
          <w:color w:val="auto"/>
        </w:rPr>
      </w:pPr>
      <w:r>
        <w:rPr>
          <w:rFonts w:ascii="Microsoft JhengHei UI Light" w:cs="Microsoft JhengHei UI Light" w:eastAsia="Microsoft JhengHei UI Light" w:hAnsi="Microsoft JhengHei UI Light"/>
          <w:sz w:val="18"/>
          <w:szCs w:val="18"/>
          <w:color w:val="7F7F7F"/>
        </w:rPr>
        <w:t>独家荣获《新理财杂志》“CFO金牌培训合作伙伴”奖</w:t>
      </w:r>
    </w:p>
    <w:p>
      <w:pPr>
        <w:spacing w:after="0" w:line="98" w:lineRule="exact"/>
        <w:rPr>
          <w:sz w:val="20"/>
          <w:szCs w:val="20"/>
          <w:color w:val="auto"/>
        </w:rPr>
      </w:pPr>
    </w:p>
    <w:p>
      <w:pPr>
        <w:ind w:right="340"/>
        <w:spacing w:after="0" w:line="275" w:lineRule="exact"/>
        <w:rPr>
          <w:sz w:val="20"/>
          <w:szCs w:val="20"/>
          <w:color w:val="auto"/>
        </w:rPr>
      </w:pPr>
      <w:r>
        <w:rPr>
          <w:rFonts w:ascii="Microsoft JhengHei UI Light" w:cs="Microsoft JhengHei UI Light" w:eastAsia="Microsoft JhengHei UI Light" w:hAnsi="Microsoft JhengHei UI Light"/>
          <w:sz w:val="18"/>
          <w:szCs w:val="18"/>
          <w:b w:val="1"/>
          <w:bCs w:val="1"/>
          <w:color w:val="7F7F7F"/>
        </w:rPr>
        <w:t>安越总经理马爽先生荣获中欧商学院“20年20人杰出校友奖”中欧国际工商学院获奖案例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-2782570</wp:posOffset>
                </wp:positionH>
                <wp:positionV relativeFrom="paragraph">
                  <wp:posOffset>960120</wp:posOffset>
                </wp:positionV>
                <wp:extent cx="5981065"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1065" cy="4763"/>
                        </a:xfrm>
                        <a:prstGeom prst="line">
                          <a:avLst/>
                        </a:prstGeom>
                        <a:solidFill>
                          <a:srgbClr val="FFFFFF"/>
                        </a:solidFill>
                        <a:ln w="19812">
                          <a:solidFill>
                            <a:srgbClr val="08788C"/>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0999pt,75.6pt" to="251.85pt,75.6pt" o:allowincell="f" strokecolor="#08788C" strokeweight="1.56pt"/>
            </w:pict>
          </mc:Fallback>
        </mc:AlternateContent>
        <w:drawing>
          <wp:anchor simplePos="0" relativeHeight="251657728" behindDoc="1" locked="0" layoutInCell="0" allowOverlap="1">
            <wp:simplePos x="0" y="0"/>
            <wp:positionH relativeFrom="column">
              <wp:posOffset>3810</wp:posOffset>
            </wp:positionH>
            <wp:positionV relativeFrom="paragraph">
              <wp:posOffset>184785</wp:posOffset>
            </wp:positionV>
            <wp:extent cx="2811780" cy="513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extLst>
                    </a:blip>
                    <a:srcRect/>
                    <a:stretch>
                      <a:fillRect/>
                    </a:stretch>
                  </pic:blipFill>
                  <pic:spPr bwMode="auto">
                    <a:xfrm>
                      <a:off x="0" y="0"/>
                      <a:ext cx="2811780" cy="513080"/>
                    </a:xfrm>
                    <a:prstGeom prst="rect">
                      <a:avLst/>
                    </a:prstGeom>
                    <a:noFill/>
                  </pic:spPr>
                </pic:pic>
              </a:graphicData>
            </a:graphic>
          </wp:anchor>
        </w:drawing>
      </w:r>
    </w:p>
    <w:p>
      <w:pPr>
        <w:spacing w:after="0" w:line="200" w:lineRule="exact"/>
        <w:rPr>
          <w:sz w:val="20"/>
          <w:szCs w:val="20"/>
          <w:color w:val="auto"/>
        </w:rPr>
      </w:pPr>
    </w:p>
    <w:p>
      <w:pPr>
        <w:sectPr>
          <w:pgSz w:w="10800" w:h="15600" w:orient="portrait"/>
          <w:cols w:equalWidth="0" w:num="2">
            <w:col w:w="4000" w:space="660"/>
            <w:col w:w="5240"/>
          </w:cols>
          <w:pgMar w:left="400" w:top="1008" w:right="50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40"/>
        <w:spacing w:after="0" w:line="356" w:lineRule="exact"/>
        <w:tabs>
          <w:tab w:leader="none" w:pos="1760" w:val="left"/>
        </w:tabs>
        <w:rPr>
          <w:sz w:val="20"/>
          <w:szCs w:val="20"/>
          <w:color w:val="auto"/>
        </w:rPr>
      </w:pPr>
      <w:r>
        <w:rPr>
          <w:rFonts w:ascii="SimSun" w:cs="SimSun" w:eastAsia="SimSun" w:hAnsi="SimSun"/>
          <w:sz w:val="28"/>
          <w:szCs w:val="28"/>
          <w:color w:val="08788C"/>
        </w:rPr>
        <w:t>联系我们</w:t>
      </w:r>
      <w:r>
        <w:rPr>
          <w:sz w:val="20"/>
          <w:szCs w:val="20"/>
          <w:color w:val="auto"/>
        </w:rPr>
        <w:tab/>
      </w:r>
      <w:r>
        <w:rPr>
          <w:rFonts w:ascii="Calibri" w:cs="Calibri" w:eastAsia="Calibri" w:hAnsi="Calibri"/>
          <w:sz w:val="23"/>
          <w:szCs w:val="23"/>
          <w:color w:val="A6A6A6"/>
        </w:rPr>
        <w:t>CONTACT US</w:t>
      </w:r>
    </w:p>
    <w:p>
      <w:pPr>
        <w:spacing w:after="0" w:line="264" w:lineRule="exact"/>
        <w:rPr>
          <w:sz w:val="20"/>
          <w:szCs w:val="20"/>
          <w:color w:val="auto"/>
        </w:rPr>
      </w:pPr>
    </w:p>
    <w:p>
      <w:pPr>
        <w:ind w:left="440"/>
        <w:spacing w:after="0" w:line="229" w:lineRule="exact"/>
        <w:rPr>
          <w:sz w:val="20"/>
          <w:szCs w:val="20"/>
          <w:color w:val="auto"/>
        </w:rPr>
      </w:pPr>
      <w:r>
        <w:rPr>
          <w:rFonts w:ascii="SimSun" w:cs="SimSun" w:eastAsia="SimSun" w:hAnsi="SimSun"/>
          <w:sz w:val="20"/>
          <w:szCs w:val="20"/>
          <w:color w:val="404040"/>
        </w:rPr>
        <w:t>上海安越企业管理咨询有限公司</w:t>
      </w:r>
    </w:p>
    <w:p>
      <w:pPr>
        <w:spacing w:after="0" w:line="215" w:lineRule="exact"/>
        <w:rPr>
          <w:sz w:val="20"/>
          <w:szCs w:val="20"/>
          <w:color w:val="auto"/>
        </w:rPr>
      </w:pPr>
    </w:p>
    <w:p>
      <w:pPr>
        <w:ind w:left="440"/>
        <w:spacing w:after="0"/>
        <w:rPr>
          <w:sz w:val="20"/>
          <w:szCs w:val="20"/>
          <w:color w:val="auto"/>
        </w:rPr>
      </w:pPr>
      <w:r>
        <w:rPr>
          <w:rFonts w:ascii="Calibri" w:cs="Calibri" w:eastAsia="Calibri" w:hAnsi="Calibri"/>
          <w:sz w:val="20"/>
          <w:szCs w:val="20"/>
          <w:color w:val="595959"/>
        </w:rPr>
        <w:t>EASYFINANCE MANAGEMENT CONSULTING CO.,LTD</w:t>
      </w:r>
    </w:p>
    <w:p>
      <w:pPr>
        <w:spacing w:after="0" w:line="45" w:lineRule="exact"/>
        <w:rPr>
          <w:sz w:val="20"/>
          <w:szCs w:val="20"/>
          <w:color w:val="auto"/>
        </w:rPr>
      </w:pPr>
    </w:p>
    <w:p>
      <w:pPr>
        <w:jc w:val="center"/>
        <w:ind w:right="6540"/>
        <w:spacing w:after="0"/>
        <w:rPr>
          <w:sz w:val="20"/>
          <w:szCs w:val="20"/>
          <w:color w:val="auto"/>
        </w:rPr>
      </w:pPr>
      <w:r>
        <w:rPr>
          <w:rFonts w:ascii="Calibri" w:cs="Calibri" w:eastAsia="Calibri" w:hAnsi="Calibri"/>
          <w:sz w:val="23"/>
          <w:szCs w:val="23"/>
          <w:color w:val="595959"/>
        </w:rPr>
        <w:t>www.easyfinance.com.cn</w:t>
      </w:r>
    </w:p>
    <w:p>
      <w:pPr>
        <w:spacing w:after="0" w:line="65" w:lineRule="exact"/>
        <w:rPr>
          <w:sz w:val="20"/>
          <w:szCs w:val="20"/>
          <w:color w:val="auto"/>
        </w:rPr>
      </w:pPr>
    </w:p>
    <w:p>
      <w:pPr>
        <w:jc w:val="center"/>
        <w:ind w:right="6480"/>
        <w:spacing w:after="0"/>
        <w:rPr>
          <w:sz w:val="20"/>
          <w:szCs w:val="20"/>
          <w:color w:val="auto"/>
        </w:rPr>
      </w:pPr>
      <w:r>
        <w:rPr>
          <w:rFonts w:ascii="Calibri" w:cs="Calibri" w:eastAsia="Calibri" w:hAnsi="Calibri"/>
          <w:sz w:val="24"/>
          <w:szCs w:val="24"/>
          <w:color w:val="595959"/>
        </w:rPr>
        <w:t xml:space="preserve">Tel: </w:t>
      </w:r>
      <w:r>
        <w:rPr>
          <w:rFonts w:ascii="Calibri" w:cs="Calibri" w:eastAsia="Calibri" w:hAnsi="Calibri"/>
          <w:sz w:val="24"/>
          <w:szCs w:val="24"/>
          <w:color w:val="08788C"/>
        </w:rPr>
        <w:t>+86 21 58362000-810</w:t>
      </w:r>
    </w:p>
    <w:p>
      <w:pPr>
        <w:spacing w:after="0" w:line="53" w:lineRule="exact"/>
        <w:rPr>
          <w:sz w:val="20"/>
          <w:szCs w:val="20"/>
          <w:color w:val="auto"/>
        </w:rPr>
      </w:pPr>
    </w:p>
    <w:p>
      <w:pPr>
        <w:jc w:val="center"/>
        <w:ind w:right="6460"/>
        <w:spacing w:after="0"/>
        <w:rPr>
          <w:sz w:val="20"/>
          <w:szCs w:val="20"/>
          <w:color w:val="auto"/>
        </w:rPr>
      </w:pPr>
      <w:r>
        <w:rPr>
          <w:rFonts w:ascii="Calibri" w:cs="Calibri" w:eastAsia="Calibri" w:hAnsi="Calibri"/>
          <w:sz w:val="24"/>
          <w:szCs w:val="24"/>
          <w:color w:val="08788C"/>
        </w:rPr>
        <w:t>+86 15801919100</w:t>
      </w:r>
    </w:p>
    <w:p>
      <w:pPr>
        <w:spacing w:after="0" w:line="51" w:lineRule="exact"/>
        <w:rPr>
          <w:sz w:val="20"/>
          <w:szCs w:val="20"/>
          <w:color w:val="auto"/>
        </w:rPr>
      </w:pPr>
    </w:p>
    <w:p>
      <w:pPr>
        <w:ind w:left="440"/>
        <w:spacing w:after="0"/>
        <w:rPr>
          <w:sz w:val="20"/>
          <w:szCs w:val="20"/>
          <w:color w:val="auto"/>
        </w:rPr>
      </w:pPr>
      <w:r>
        <w:rPr>
          <w:rFonts w:ascii="Calibri" w:cs="Calibri" w:eastAsia="Calibri" w:hAnsi="Calibri"/>
          <w:sz w:val="20"/>
          <w:szCs w:val="20"/>
          <w:color w:val="595959"/>
        </w:rPr>
        <w:t>Mail: BD@EasyFinance.com.cn</w:t>
      </w:r>
    </w:p>
    <w:p>
      <w:pPr>
        <w:spacing w:after="0" w:line="44" w:lineRule="exact"/>
        <w:rPr>
          <w:sz w:val="20"/>
          <w:szCs w:val="20"/>
          <w:color w:val="auto"/>
        </w:rPr>
      </w:pPr>
    </w:p>
    <w:p>
      <w:pPr>
        <w:ind w:left="440"/>
        <w:spacing w:after="0" w:line="245" w:lineRule="exact"/>
        <w:rPr>
          <w:sz w:val="20"/>
          <w:szCs w:val="20"/>
          <w:color w:val="auto"/>
        </w:rPr>
      </w:pPr>
      <w:r>
        <w:rPr>
          <w:rFonts w:ascii="Calibri" w:cs="Calibri" w:eastAsia="Calibri" w:hAnsi="Calibri"/>
          <w:sz w:val="20"/>
          <w:szCs w:val="20"/>
          <w:color w:val="595959"/>
        </w:rPr>
        <w:t>Add:</w:t>
      </w:r>
      <w:r>
        <w:rPr>
          <w:rFonts w:ascii="Microsoft JhengHei UI Light" w:cs="Microsoft JhengHei UI Light" w:eastAsia="Microsoft JhengHei UI Light" w:hAnsi="Microsoft JhengHei UI Light"/>
          <w:sz w:val="18"/>
          <w:szCs w:val="18"/>
          <w:color w:val="595959"/>
        </w:rPr>
        <w:t>上海市浦东新区张杨路707号生命人寿大厦1208室</w:t>
      </w:r>
    </w:p>
    <w:p>
      <w:pPr>
        <w:spacing w:after="0" w:line="44" w:lineRule="exact"/>
        <w:rPr>
          <w:sz w:val="20"/>
          <w:szCs w:val="20"/>
          <w:color w:val="auto"/>
        </w:rPr>
      </w:pPr>
    </w:p>
    <w:p>
      <w:pPr>
        <w:ind w:left="440"/>
        <w:spacing w:after="0"/>
        <w:rPr>
          <w:sz w:val="20"/>
          <w:szCs w:val="20"/>
          <w:color w:val="auto"/>
        </w:rPr>
      </w:pPr>
      <w:r>
        <w:rPr>
          <w:rFonts w:ascii="Calibri" w:cs="Calibri" w:eastAsia="Calibri" w:hAnsi="Calibri"/>
          <w:sz w:val="20"/>
          <w:szCs w:val="20"/>
          <w:color w:val="595959"/>
        </w:rPr>
        <w:t>200120, Rm 1208, Sinolife Tower No. 707 Zhangyang Rd.</w:t>
      </w:r>
    </w:p>
    <w:p>
      <w:pPr>
        <w:spacing w:after="0" w:line="44" w:lineRule="exact"/>
        <w:rPr>
          <w:sz w:val="20"/>
          <w:szCs w:val="20"/>
          <w:color w:val="auto"/>
        </w:rPr>
      </w:pPr>
    </w:p>
    <w:p>
      <w:pPr>
        <w:ind w:left="440"/>
        <w:spacing w:after="0"/>
        <w:rPr>
          <w:sz w:val="20"/>
          <w:szCs w:val="20"/>
          <w:color w:val="auto"/>
        </w:rPr>
      </w:pPr>
      <w:r>
        <w:rPr>
          <w:rFonts w:ascii="Calibri" w:cs="Calibri" w:eastAsia="Calibri" w:hAnsi="Calibri"/>
          <w:sz w:val="20"/>
          <w:szCs w:val="20"/>
          <w:color w:val="595959"/>
        </w:rPr>
        <w:t>Pudong, Shanghai China</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47625</wp:posOffset>
                </wp:positionH>
                <wp:positionV relativeFrom="paragraph">
                  <wp:posOffset>427355</wp:posOffset>
                </wp:positionV>
                <wp:extent cx="624522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45225" cy="4763"/>
                        </a:xfrm>
                        <a:prstGeom prst="line">
                          <a:avLst/>
                        </a:prstGeom>
                        <a:solidFill>
                          <a:srgbClr val="FFFFFF"/>
                        </a:solidFill>
                        <a:ln w="12192">
                          <a:solidFill>
                            <a:srgbClr val="08788C"/>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5pt,33.65pt" to="495.5pt,33.65pt" o:allowincell="f" strokecolor="#08788C" strokeweight="0.96pt"/>
            </w:pict>
          </mc:Fallback>
        </mc:AlternateContent>
      </w:r>
    </w:p>
    <w:p>
      <w:pPr>
        <w:sectPr>
          <w:pgSz w:w="10800" w:h="15600" w:orient="portrait"/>
          <w:cols w:equalWidth="0" w:num="1">
            <w:col w:w="9900"/>
          </w:cols>
          <w:pgMar w:left="400" w:top="1008" w:right="50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spacing w:after="0" w:line="229" w:lineRule="exact"/>
        <w:tabs>
          <w:tab w:leader="none" w:pos="8080" w:val="left"/>
        </w:tabs>
        <w:rPr>
          <w:sz w:val="20"/>
          <w:szCs w:val="20"/>
          <w:color w:val="auto"/>
        </w:rPr>
      </w:pPr>
      <w:r>
        <w:rPr>
          <w:rFonts w:ascii="Microsoft JhengHei UI Light" w:cs="Microsoft JhengHei UI Light" w:eastAsia="Microsoft JhengHei UI Light" w:hAnsi="Microsoft JhengHei UI Light"/>
          <w:sz w:val="18"/>
          <w:szCs w:val="18"/>
          <w:color w:val="auto"/>
        </w:rPr>
        <w:t>《股权投资与并购的投后管理》</w:t>
      </w:r>
      <w:r>
        <w:rPr>
          <w:sz w:val="20"/>
          <w:szCs w:val="20"/>
          <w:color w:val="auto"/>
        </w:rPr>
        <w:tab/>
      </w:r>
      <w:r>
        <w:rPr>
          <w:rFonts w:ascii="Microsoft JhengHei UI Light" w:cs="Microsoft JhengHei UI Light" w:eastAsia="Microsoft JhengHei UI Light" w:hAnsi="Microsoft JhengHei UI Light"/>
          <w:sz w:val="18"/>
          <w:szCs w:val="18"/>
          <w:color w:val="auto"/>
        </w:rPr>
        <w:t>选择安越因为专业 05</w:t>
      </w:r>
    </w:p>
    <w:sectPr>
      <w:pgSz w:w="10800" w:h="15600" w:orient="portrait"/>
      <w:cols w:equalWidth="0" w:num="1">
        <w:col w:w="9900"/>
      </w:cols>
      <w:pgMar w:left="400" w:top="1008" w:right="50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SimSun">
    <w:panose1 w:val="02010600030101010101"/>
    <w:charset w:val="86"/>
    <w:family w:val="auto"/>
    <w:pitch w:val="variable"/>
    <w:sig w:usb0="00000003" w:usb1="288F0000" w:usb2="00000006" w:usb3="00000000" w:csb0="00040001" w:csb1="00000000"/>
  </w:font>
  <w:font w:name="Century Gothic">
    <w:panose1 w:val="020B0502020202020204"/>
    <w:charset w:val="00"/>
    <w:family w:val="roman"/>
    <w:pitch w:val="variable"/>
    <w:sig w:usb0="00000287" w:usb1="00000000" w:usb2="00000000" w:usb3="00000000" w:csb0="2000009F" w:csb1="DFD70000"/>
  </w:font>
  <w:font w:name="Microsoft JhengHei UI Light">
    <w:panose1 w:val="020B0304030504040204"/>
    <w:charset w:val="88"/>
    <w:family w:val="swiss"/>
    <w:pitch w:val="variable"/>
    <w:sig w:usb0="800002A7" w:usb1="28CF4400" w:usb2="00000016" w:usb3="00000000" w:csb0="00100009" w:csb1="00000000"/>
  </w:font>
  <w:font w:name="Wingdings">
    <w:panose1 w:val="05000000000000000000"/>
    <w:charset w:val="02"/>
    <w:family w:val="auto"/>
    <w:pitch w:val="variable"/>
    <w:sig w:usb0="00000000" w:usb1="00000000" w:usb2="00000000" w:usb3="00000000" w:csb0="80000000"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lvl w:ilvl="1">
      <w:lvlJc w:val="left"/>
      <w:lvlText w:val="-"/>
      <w:numFmt w:val="bullet"/>
      <w:start w:val="1"/>
    </w:lvl>
  </w:abstractNum>
  <w:abstractNum w:abstractNumId="2">
    <w:nsid w:val="625558EC"/>
    <w:multiLevelType w:val="hybridMultilevel"/>
    <w:lvl w:ilvl="0">
      <w:lvlJc w:val="left"/>
      <w:lvlText w:val="•"/>
      <w:numFmt w:val="bullet"/>
      <w:start w:val="1"/>
    </w:lvl>
    <w:lvl w:ilvl="1">
      <w:lvlJc w:val="left"/>
      <w:lvlText w:val="-"/>
      <w:numFmt w:val="bullet"/>
      <w:start w:val="1"/>
    </w:lvl>
  </w:abstractNum>
  <w:abstractNum w:abstractNumId="3">
    <w:nsid w:val="238E1F29"/>
    <w:multiLevelType w:val="hybridMultilevel"/>
    <w:lvl w:ilvl="0">
      <w:lvlJc w:val="left"/>
      <w:lvlText w:val="•"/>
      <w:numFmt w:val="bullet"/>
      <w:start w:val="1"/>
    </w:lvl>
    <w:lvl w:ilvl="1">
      <w:lvlJc w:val="left"/>
      <w:lvlText w:val="-"/>
      <w:numFmt w:val="bullet"/>
      <w:start w:val="1"/>
    </w:lvl>
  </w:abstractNum>
  <w:abstractNum w:abstractNumId="4">
    <w:nsid w:val="46E87CCD"/>
    <w:multiLevelType w:val="hybridMultilevel"/>
    <w:lvl w:ilvl="0">
      <w:lvlJc w:val="left"/>
      <w:lvlText w:val="%1"/>
      <w:numFmt w:val="upperLetter"/>
      <w:start w:val="9"/>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2021-04-20T03:39:50Z</dcterms:created>
  <dcterms:modified xsi:type="dcterms:W3CDTF">2021-04-20T03:39:50Z</dcterms:modified>
</cp:coreProperties>
</file>