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ind w:right="240"/>
        <w:spacing w:after="0" w:line="317" w:lineRule="exact"/>
        <w:rPr>
          <w:sz w:val="20"/>
          <w:szCs w:val="20"/>
          <w:color w:val="auto"/>
        </w:rPr>
      </w:pPr>
      <w:r>
        <w:rPr>
          <w:rFonts w:ascii="Microsoft YaHei" w:cs="Microsoft YaHei" w:eastAsia="Microsoft YaHei" w:hAnsi="Microsoft YaHei"/>
          <w:sz w:val="24"/>
          <w:szCs w:val="24"/>
          <w:color w:val="7F7F7F"/>
        </w:rPr>
        <w:drawing>
          <wp:anchor simplePos="0" relativeHeight="251657728" behindDoc="1" locked="0" layoutInCell="0" allowOverlap="1">
            <wp:simplePos x="0" y="0"/>
            <wp:positionH relativeFrom="page">
              <wp:posOffset>364490</wp:posOffset>
            </wp:positionH>
            <wp:positionV relativeFrom="page">
              <wp:posOffset>464820</wp:posOffset>
            </wp:positionV>
            <wp:extent cx="1206500" cy="5060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06500" cy="50609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page">
                  <wp:posOffset>6446520</wp:posOffset>
                </wp:positionH>
                <wp:positionV relativeFrom="page">
                  <wp:posOffset>464185</wp:posOffset>
                </wp:positionV>
                <wp:extent cx="0" cy="50609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6095"/>
                        </a:xfrm>
                        <a:prstGeom prst="line">
                          <a:avLst/>
                        </a:prstGeom>
                        <a:solidFill>
                          <a:srgbClr val="FFFFFF"/>
                        </a:solidFill>
                        <a:ln w="45720">
                          <a:solidFill>
                            <a:srgbClr val="08788C"/>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7.6pt,36.55pt" to="507.6pt,76.4pt" o:allowincell="f" strokecolor="#08788C" strokeweight="3.6pt">
                <w10:wrap anchorx="page" anchory="page"/>
              </v:line>
            </w:pict>
          </mc:Fallback>
        </mc:AlternateContent>
        <w:t>深耕欧美管理会计理念聚</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857885</wp:posOffset>
            </wp:positionH>
            <wp:positionV relativeFrom="paragraph">
              <wp:posOffset>-173355</wp:posOffset>
            </wp:positionV>
            <wp:extent cx="127635" cy="132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127635" cy="132715"/>
                    </a:xfrm>
                    <a:prstGeom prst="rect">
                      <a:avLst/>
                    </a:prstGeom>
                    <a:noFill/>
                  </pic:spPr>
                </pic:pic>
              </a:graphicData>
            </a:graphic>
          </wp:anchor>
        </w:drawing>
      </w:r>
    </w:p>
    <w:p>
      <w:pPr>
        <w:spacing w:after="0" w:line="71" w:lineRule="exact"/>
        <w:rPr>
          <w:sz w:val="24"/>
          <w:szCs w:val="24"/>
          <w:color w:val="auto"/>
        </w:rPr>
      </w:pPr>
    </w:p>
    <w:p>
      <w:pPr>
        <w:jc w:val="right"/>
        <w:ind w:right="240"/>
        <w:spacing w:after="0" w:line="317" w:lineRule="exact"/>
        <w:rPr>
          <w:sz w:val="20"/>
          <w:szCs w:val="20"/>
          <w:color w:val="auto"/>
        </w:rPr>
      </w:pPr>
      <w:r>
        <w:rPr>
          <w:rFonts w:ascii="Microsoft YaHei" w:cs="Microsoft YaHei" w:eastAsia="Microsoft YaHei" w:hAnsi="Microsoft YaHei"/>
          <w:sz w:val="24"/>
          <w:szCs w:val="24"/>
          <w:color w:val="7F7F7F"/>
        </w:rPr>
        <w:t>焦中国企业实践十七年</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p>
      <w:pPr>
        <w:jc w:val="center"/>
        <w:ind w:right="500"/>
        <w:spacing w:after="0" w:line="731" w:lineRule="exact"/>
        <w:rPr>
          <w:sz w:val="20"/>
          <w:szCs w:val="20"/>
          <w:color w:val="auto"/>
        </w:rPr>
      </w:pPr>
      <w:r>
        <w:rPr>
          <w:rFonts w:ascii="SimSun" w:cs="SimSun" w:eastAsia="SimSun" w:hAnsi="SimSun"/>
          <w:sz w:val="64"/>
          <w:szCs w:val="64"/>
          <w:color w:val="08788C"/>
        </w:rPr>
        <w:t>国际化财务与跨文化团队管理</w:t>
      </w:r>
    </w:p>
    <w:p>
      <w:pPr>
        <w:spacing w:after="0" w:line="200" w:lineRule="exact"/>
        <w:rPr>
          <w:sz w:val="24"/>
          <w:szCs w:val="24"/>
          <w:color w:val="auto"/>
        </w:rPr>
      </w:pPr>
    </w:p>
    <w:p>
      <w:pPr>
        <w:spacing w:after="0" w:line="200" w:lineRule="exact"/>
        <w:rPr>
          <w:sz w:val="24"/>
          <w:szCs w:val="24"/>
          <w:color w:val="auto"/>
        </w:rPr>
      </w:pPr>
    </w:p>
    <w:p>
      <w:pPr>
        <w:spacing w:after="0" w:line="297" w:lineRule="exact"/>
        <w:rPr>
          <w:sz w:val="24"/>
          <w:szCs w:val="24"/>
          <w:color w:val="auto"/>
        </w:rPr>
      </w:pPr>
    </w:p>
    <w:p>
      <w:pPr>
        <w:jc w:val="center"/>
        <w:ind w:right="500"/>
        <w:spacing w:after="0"/>
        <w:rPr>
          <w:sz w:val="20"/>
          <w:szCs w:val="20"/>
          <w:color w:val="auto"/>
        </w:rPr>
      </w:pPr>
      <w:r>
        <w:rPr>
          <w:rFonts w:ascii="Calibri" w:cs="Calibri" w:eastAsia="Calibri" w:hAnsi="Calibri"/>
          <w:sz w:val="36"/>
          <w:szCs w:val="36"/>
          <w:color w:val="7F7F7F"/>
        </w:rPr>
        <w:t>Financial Management and Cross-Culture Team</w:t>
      </w:r>
    </w:p>
    <w:p>
      <w:pPr>
        <w:jc w:val="center"/>
        <w:ind w:right="500"/>
        <w:spacing w:after="0"/>
        <w:rPr>
          <w:sz w:val="20"/>
          <w:szCs w:val="20"/>
          <w:color w:val="auto"/>
        </w:rPr>
      </w:pPr>
      <w:r>
        <w:rPr>
          <w:rFonts w:ascii="Calibri" w:cs="Calibri" w:eastAsia="Calibri" w:hAnsi="Calibri"/>
          <w:sz w:val="36"/>
          <w:szCs w:val="36"/>
          <w:color w:val="7F7F7F"/>
        </w:rPr>
        <w:t>Management for Multinational Company</w:t>
      </w:r>
    </w:p>
    <w:p>
      <w:pPr>
        <w:spacing w:after="0" w:line="200" w:lineRule="exact"/>
        <w:rPr>
          <w:sz w:val="24"/>
          <w:szCs w:val="24"/>
          <w:color w:val="auto"/>
        </w:rPr>
      </w:pPr>
    </w:p>
    <w:p>
      <w:pPr>
        <w:spacing w:after="0" w:line="222" w:lineRule="exact"/>
        <w:rPr>
          <w:sz w:val="24"/>
          <w:szCs w:val="24"/>
          <w:color w:val="auto"/>
        </w:rPr>
      </w:pPr>
    </w:p>
    <w:p>
      <w:pPr>
        <w:ind w:left="1580" w:right="1920" w:hanging="140"/>
        <w:spacing w:after="0" w:line="441" w:lineRule="exact"/>
        <w:rPr>
          <w:sz w:val="20"/>
          <w:szCs w:val="20"/>
          <w:color w:val="auto"/>
        </w:rPr>
      </w:pPr>
      <w:r>
        <w:rPr>
          <w:rFonts w:ascii="Microsoft YaHei" w:cs="Microsoft YaHei" w:eastAsia="Microsoft YaHei" w:hAnsi="Microsoft YaHei"/>
          <w:sz w:val="28"/>
          <w:szCs w:val="28"/>
          <w:color w:val="A6A6A6"/>
        </w:rPr>
        <w:t>把握跨国企业对财务的管理理念与能力新要求有效支撑企业</w:t>
      </w:r>
      <w:r>
        <w:rPr>
          <w:rFonts w:ascii="Century Gothic" w:cs="Century Gothic" w:eastAsia="Century Gothic" w:hAnsi="Century Gothic"/>
          <w:sz w:val="28"/>
          <w:szCs w:val="28"/>
          <w:color w:val="A6A6A6"/>
        </w:rPr>
        <w:t>“</w:t>
      </w:r>
      <w:r>
        <w:rPr>
          <w:rFonts w:ascii="Microsoft YaHei" w:cs="Microsoft YaHei" w:eastAsia="Microsoft YaHei" w:hAnsi="Microsoft YaHei"/>
          <w:sz w:val="28"/>
          <w:szCs w:val="28"/>
          <w:color w:val="A6A6A6"/>
        </w:rPr>
        <w:t>走出去</w:t>
      </w:r>
      <w:r>
        <w:rPr>
          <w:rFonts w:ascii="Century Gothic" w:cs="Century Gothic" w:eastAsia="Century Gothic" w:hAnsi="Century Gothic"/>
          <w:sz w:val="28"/>
          <w:szCs w:val="28"/>
          <w:color w:val="A6A6A6"/>
        </w:rPr>
        <w:t>”</w:t>
      </w:r>
      <w:r>
        <w:rPr>
          <w:rFonts w:ascii="Microsoft YaHei" w:cs="Microsoft YaHei" w:eastAsia="Microsoft YaHei" w:hAnsi="Microsoft YaHei"/>
          <w:sz w:val="28"/>
          <w:szCs w:val="28"/>
          <w:color w:val="A6A6A6"/>
        </w:rPr>
        <w:t>战略与跨国业务发展</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-735965</wp:posOffset>
            </wp:positionH>
            <wp:positionV relativeFrom="paragraph">
              <wp:posOffset>377825</wp:posOffset>
            </wp:positionV>
            <wp:extent cx="6858000" cy="37350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6858000" cy="373507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8" w:lineRule="exact"/>
        <w:rPr>
          <w:sz w:val="24"/>
          <w:szCs w:val="24"/>
          <w:color w:val="auto"/>
        </w:rPr>
      </w:pPr>
    </w:p>
    <w:p>
      <w:pPr>
        <w:ind w:left="6380"/>
        <w:spacing w:after="0" w:line="908" w:lineRule="exact"/>
        <w:rPr>
          <w:sz w:val="20"/>
          <w:szCs w:val="20"/>
          <w:color w:val="auto"/>
        </w:rPr>
      </w:pPr>
      <w:r>
        <w:rPr>
          <w:sz w:val="1"/>
          <w:szCs w:val="1"/>
          <w:color w:val="auto"/>
        </w:rPr>
        <w:drawing>
          <wp:inline distT="0" distB="0" distL="0" distR="0">
            <wp:extent cx="12065"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12065" cy="518160"/>
                    </a:xfrm>
                    <a:prstGeom prst="rect">
                      <a:avLst/>
                    </a:prstGeom>
                    <a:noFill/>
                    <a:ln>
                      <a:noFill/>
                    </a:ln>
                  </pic:spPr>
                </pic:pic>
              </a:graphicData>
            </a:graphic>
          </wp:inline>
        </w:drawing>
        <w:drawing>
          <wp:inline distT="0" distB="0" distL="0" distR="0">
            <wp:extent cx="38100" cy="435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extLst>
                    </a:blip>
                    <a:srcRect/>
                    <a:stretch>
                      <a:fillRect/>
                    </a:stretch>
                  </pic:blipFill>
                  <pic:spPr bwMode="auto">
                    <a:xfrm>
                      <a:off x="0" y="0"/>
                      <a:ext cx="38100" cy="435610"/>
                    </a:xfrm>
                    <a:prstGeom prst="rect">
                      <a:avLst/>
                    </a:prstGeom>
                    <a:noFill/>
                    <a:ln>
                      <a:noFill/>
                    </a:ln>
                  </pic:spPr>
                </pic:pic>
              </a:graphicData>
            </a:graphic>
          </wp:inline>
        </w:drawing>
      </w:r>
      <w:r>
        <w:rPr>
          <w:rFonts w:ascii="Microsoft JhengHei UI Light" w:cs="Microsoft JhengHei UI Light" w:eastAsia="Microsoft JhengHei UI Light" w:hAnsi="Microsoft JhengHei UI Light"/>
          <w:sz w:val="36"/>
          <w:szCs w:val="36"/>
          <w:color w:val="08788C"/>
        </w:rPr>
        <w:t xml:space="preserve"> 精英小班 </w:t>
      </w:r>
      <w:r>
        <w:rPr>
          <w:sz w:val="1"/>
          <w:szCs w:val="1"/>
          <w:color w:val="auto"/>
        </w:rPr>
        <w:drawing>
          <wp:inline distT="0" distB="0" distL="0" distR="0">
            <wp:extent cx="38100" cy="4356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38100" cy="435610"/>
                    </a:xfrm>
                    <a:prstGeom prst="rect">
                      <a:avLst/>
                    </a:prstGeom>
                    <a:noFill/>
                    <a:ln>
                      <a:noFill/>
                    </a:ln>
                  </pic:spPr>
                </pic:pic>
              </a:graphicData>
            </a:graphic>
          </wp:inline>
        </w:drawing>
        <w:drawing>
          <wp:inline distT="0" distB="0" distL="0" distR="0">
            <wp:extent cx="12065"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12065" cy="518160"/>
                    </a:xfrm>
                    <a:prstGeom prst="rect">
                      <a:avLst/>
                    </a:prstGeom>
                    <a:noFill/>
                    <a:ln>
                      <a:noFill/>
                    </a:ln>
                  </pic:spPr>
                </pic:pic>
              </a:graphicData>
            </a:graphic>
          </wp:inline>
        </w:drawing>
      </w:r>
    </w:p>
    <w:p>
      <w:pPr>
        <w:spacing w:after="0" w:line="411" w:lineRule="exact"/>
        <w:rPr>
          <w:sz w:val="20"/>
          <w:szCs w:val="20"/>
          <w:color w:val="auto"/>
        </w:rPr>
      </w:pPr>
      <w:r>
        <w:rPr>
          <w:rFonts w:ascii="Microsoft YaHei" w:cs="Microsoft YaHei" w:eastAsia="Microsoft YaHei" w:hAnsi="Microsoft YaHei"/>
          <w:sz w:val="32"/>
          <w:szCs w:val="32"/>
          <w:color w:val="FFFFFF"/>
        </w:rPr>
        <w:t>安越管理会计学院五大优势：</w:t>
      </w:r>
    </w:p>
    <w:p>
      <w:pPr>
        <w:spacing w:after="0" w:line="395" w:lineRule="exact"/>
        <w:rPr>
          <w:sz w:val="24"/>
          <w:szCs w:val="24"/>
          <w:color w:val="auto"/>
        </w:rPr>
      </w:pPr>
    </w:p>
    <w:tbl>
      <w:tblPr>
        <w:tblLayout w:type="fixed"/>
        <w:tblInd w:w="200" w:type="dxa"/>
        <w:tblCellMar>
          <w:top w:w="0" w:type="dxa"/>
          <w:left w:w="0" w:type="dxa"/>
          <w:bottom w:w="0" w:type="dxa"/>
          <w:right w:w="0" w:type="dxa"/>
        </w:tblCellMar>
      </w:tblPr>
      <w:tr>
        <w:trPr>
          <w:trHeight w:val="107"/>
        </w:trPr>
        <w:tc>
          <w:tcPr>
            <w:tcW w:w="3080" w:type="dxa"/>
            <w:vAlign w:val="bottom"/>
            <w:vMerge w:val="restart"/>
          </w:tcPr>
          <w:p>
            <w:pPr>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国内首家管理会计学院</w:t>
            </w:r>
          </w:p>
        </w:tc>
        <w:tc>
          <w:tcPr>
            <w:tcW w:w="120" w:type="dxa"/>
            <w:vAlign w:val="bottom"/>
          </w:tcPr>
          <w:p>
            <w:pPr>
              <w:spacing w:after="0"/>
              <w:rPr>
                <w:sz w:val="9"/>
                <w:szCs w:val="9"/>
                <w:color w:val="auto"/>
              </w:rPr>
            </w:pPr>
          </w:p>
        </w:tc>
        <w:tc>
          <w:tcPr>
            <w:tcW w:w="2720" w:type="dxa"/>
            <w:vAlign w:val="bottom"/>
            <w:vMerge w:val="restart"/>
          </w:tcPr>
          <w:p>
            <w:pPr>
              <w:ind w:left="1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聚焦本土最佳实践</w:t>
            </w:r>
          </w:p>
        </w:tc>
        <w:tc>
          <w:tcPr>
            <w:tcW w:w="100" w:type="dxa"/>
            <w:vAlign w:val="bottom"/>
          </w:tcPr>
          <w:p>
            <w:pPr>
              <w:spacing w:after="0"/>
              <w:rPr>
                <w:sz w:val="9"/>
                <w:szCs w:val="9"/>
                <w:color w:val="auto"/>
              </w:rPr>
            </w:pPr>
          </w:p>
        </w:tc>
        <w:tc>
          <w:tcPr>
            <w:tcW w:w="2760" w:type="dxa"/>
            <w:vAlign w:val="bottom"/>
            <w:vMerge w:val="restart"/>
          </w:tcPr>
          <w:p>
            <w:pPr>
              <w:ind w:left="1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w w:val="99"/>
              </w:rPr>
              <w:t>全面实用的管理会计体系</w:t>
            </w:r>
          </w:p>
        </w:tc>
        <w:tc>
          <w:tcPr>
            <w:tcW w:w="0" w:type="dxa"/>
            <w:vAlign w:val="bottom"/>
          </w:tcPr>
          <w:p>
            <w:pPr>
              <w:spacing w:after="0"/>
              <w:rPr>
                <w:sz w:val="1"/>
                <w:szCs w:val="1"/>
                <w:color w:val="auto"/>
              </w:rPr>
            </w:pPr>
          </w:p>
        </w:tc>
      </w:tr>
      <w:tr>
        <w:trPr>
          <w:trHeight w:val="108"/>
        </w:trPr>
        <w:tc>
          <w:tcPr>
            <w:tcW w:w="3080" w:type="dxa"/>
            <w:vAlign w:val="bottom"/>
            <w:vMerge w:val="continue"/>
          </w:tcPr>
          <w:p>
            <w:pPr>
              <w:spacing w:after="0"/>
              <w:rPr>
                <w:sz w:val="9"/>
                <w:szCs w:val="9"/>
                <w:color w:val="auto"/>
              </w:rPr>
            </w:pPr>
          </w:p>
        </w:tc>
        <w:tc>
          <w:tcPr>
            <w:tcW w:w="120" w:type="dxa"/>
            <w:vAlign w:val="bottom"/>
            <w:shd w:val="clear" w:color="auto" w:fill="94C1C9"/>
          </w:tcPr>
          <w:p>
            <w:pPr>
              <w:spacing w:after="0"/>
              <w:rPr>
                <w:sz w:val="9"/>
                <w:szCs w:val="9"/>
                <w:color w:val="auto"/>
              </w:rPr>
            </w:pPr>
          </w:p>
        </w:tc>
        <w:tc>
          <w:tcPr>
            <w:tcW w:w="2720" w:type="dxa"/>
            <w:vAlign w:val="bottom"/>
            <w:vMerge w:val="continue"/>
          </w:tcPr>
          <w:p>
            <w:pPr>
              <w:spacing w:after="0"/>
              <w:rPr>
                <w:sz w:val="9"/>
                <w:szCs w:val="9"/>
                <w:color w:val="auto"/>
              </w:rPr>
            </w:pPr>
          </w:p>
        </w:tc>
        <w:tc>
          <w:tcPr>
            <w:tcW w:w="100" w:type="dxa"/>
            <w:vAlign w:val="bottom"/>
            <w:shd w:val="clear" w:color="auto" w:fill="94C1C9"/>
          </w:tcPr>
          <w:p>
            <w:pPr>
              <w:spacing w:after="0"/>
              <w:rPr>
                <w:sz w:val="9"/>
                <w:szCs w:val="9"/>
                <w:color w:val="auto"/>
              </w:rPr>
            </w:pPr>
          </w:p>
        </w:tc>
        <w:tc>
          <w:tcPr>
            <w:tcW w:w="276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90"/>
        </w:trPr>
        <w:tc>
          <w:tcPr>
            <w:tcW w:w="308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272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2760" w:type="dxa"/>
            <w:vAlign w:val="bottom"/>
            <w:vMerge w:val="continue"/>
          </w:tcPr>
          <w:p>
            <w:pPr>
              <w:spacing w:after="0"/>
              <w:rPr>
                <w:sz w:val="7"/>
                <w:szCs w:val="7"/>
                <w:color w:val="auto"/>
              </w:rPr>
            </w:pPr>
          </w:p>
        </w:tc>
        <w:tc>
          <w:tcPr>
            <w:tcW w:w="0" w:type="dxa"/>
            <w:vAlign w:val="bottom"/>
          </w:tcPr>
          <w:p>
            <w:pPr>
              <w:spacing w:after="0"/>
              <w:rPr>
                <w:sz w:val="1"/>
                <w:szCs w:val="1"/>
                <w:color w:val="auto"/>
              </w:rPr>
            </w:pPr>
          </w:p>
        </w:tc>
      </w:tr>
      <w:tr>
        <w:trPr>
          <w:trHeight w:val="237"/>
        </w:trPr>
        <w:tc>
          <w:tcPr>
            <w:tcW w:w="3080" w:type="dxa"/>
            <w:vAlign w:val="bottom"/>
            <w:vMerge w:val="restart"/>
          </w:tcPr>
          <w:p>
            <w:pPr>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精英小班学习社交平台</w:t>
            </w:r>
          </w:p>
        </w:tc>
        <w:tc>
          <w:tcPr>
            <w:tcW w:w="120" w:type="dxa"/>
            <w:vAlign w:val="bottom"/>
          </w:tcPr>
          <w:p>
            <w:pPr>
              <w:spacing w:after="0"/>
              <w:rPr>
                <w:sz w:val="20"/>
                <w:szCs w:val="20"/>
                <w:color w:val="auto"/>
              </w:rPr>
            </w:pPr>
          </w:p>
        </w:tc>
        <w:tc>
          <w:tcPr>
            <w:tcW w:w="2720" w:type="dxa"/>
            <w:vAlign w:val="bottom"/>
            <w:vMerge w:val="restart"/>
          </w:tcPr>
          <w:p>
            <w:pPr>
              <w:ind w:left="120"/>
              <w:spacing w:after="0" w:line="305" w:lineRule="exact"/>
              <w:rPr>
                <w:sz w:val="20"/>
                <w:szCs w:val="20"/>
                <w:color w:val="auto"/>
              </w:rPr>
            </w:pPr>
            <w:r>
              <w:rPr>
                <w:rFonts w:ascii="Microsoft JhengHei UI Light" w:cs="Microsoft JhengHei UI Light" w:eastAsia="Microsoft JhengHei UI Light" w:hAnsi="Microsoft JhengHei UI Light"/>
                <w:sz w:val="24"/>
                <w:szCs w:val="24"/>
                <w:color w:val="FFFFFF"/>
              </w:rPr>
              <w:t>务实的合伙人讲师团队</w:t>
            </w:r>
          </w:p>
        </w:tc>
        <w:tc>
          <w:tcPr>
            <w:tcW w:w="100" w:type="dxa"/>
            <w:vAlign w:val="bottom"/>
          </w:tcPr>
          <w:p>
            <w:pPr>
              <w:spacing w:after="0"/>
              <w:rPr>
                <w:sz w:val="20"/>
                <w:szCs w:val="20"/>
                <w:color w:val="auto"/>
              </w:rPr>
            </w:pPr>
          </w:p>
        </w:tc>
        <w:tc>
          <w:tcPr>
            <w:tcW w:w="27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108"/>
        </w:trPr>
        <w:tc>
          <w:tcPr>
            <w:tcW w:w="3080" w:type="dxa"/>
            <w:vAlign w:val="bottom"/>
            <w:vMerge w:val="continue"/>
          </w:tcPr>
          <w:p>
            <w:pPr>
              <w:spacing w:after="0"/>
              <w:rPr>
                <w:sz w:val="9"/>
                <w:szCs w:val="9"/>
                <w:color w:val="auto"/>
              </w:rPr>
            </w:pPr>
          </w:p>
        </w:tc>
        <w:tc>
          <w:tcPr>
            <w:tcW w:w="120" w:type="dxa"/>
            <w:vAlign w:val="bottom"/>
            <w:shd w:val="clear" w:color="auto" w:fill="94C1C9"/>
          </w:tcPr>
          <w:p>
            <w:pPr>
              <w:spacing w:after="0"/>
              <w:rPr>
                <w:sz w:val="9"/>
                <w:szCs w:val="9"/>
                <w:color w:val="auto"/>
              </w:rPr>
            </w:pPr>
          </w:p>
        </w:tc>
        <w:tc>
          <w:tcPr>
            <w:tcW w:w="2720" w:type="dxa"/>
            <w:vAlign w:val="bottom"/>
            <w:vMerge w:val="continue"/>
          </w:tcPr>
          <w:p>
            <w:pPr>
              <w:spacing w:after="0"/>
              <w:rPr>
                <w:sz w:val="9"/>
                <w:szCs w:val="9"/>
                <w:color w:val="auto"/>
              </w:rPr>
            </w:pPr>
          </w:p>
        </w:tc>
        <w:tc>
          <w:tcPr>
            <w:tcW w:w="100" w:type="dxa"/>
            <w:vAlign w:val="bottom"/>
          </w:tcPr>
          <w:p>
            <w:pPr>
              <w:spacing w:after="0"/>
              <w:rPr>
                <w:sz w:val="9"/>
                <w:szCs w:val="9"/>
                <w:color w:val="auto"/>
              </w:rPr>
            </w:pPr>
          </w:p>
        </w:tc>
        <w:tc>
          <w:tcPr>
            <w:tcW w:w="276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7"/>
        </w:trPr>
        <w:tc>
          <w:tcPr>
            <w:tcW w:w="3080" w:type="dxa"/>
            <w:vAlign w:val="bottom"/>
            <w:vMerge w:val="continue"/>
          </w:tcPr>
          <w:p>
            <w:pPr>
              <w:spacing w:after="0"/>
              <w:rPr>
                <w:sz w:val="7"/>
                <w:szCs w:val="7"/>
                <w:color w:val="auto"/>
              </w:rPr>
            </w:pPr>
          </w:p>
        </w:tc>
        <w:tc>
          <w:tcPr>
            <w:tcW w:w="120" w:type="dxa"/>
            <w:vAlign w:val="bottom"/>
          </w:tcPr>
          <w:p>
            <w:pPr>
              <w:spacing w:after="0"/>
              <w:rPr>
                <w:sz w:val="7"/>
                <w:szCs w:val="7"/>
                <w:color w:val="auto"/>
              </w:rPr>
            </w:pPr>
          </w:p>
        </w:tc>
        <w:tc>
          <w:tcPr>
            <w:tcW w:w="2720" w:type="dxa"/>
            <w:vAlign w:val="bottom"/>
            <w:vMerge w:val="continue"/>
          </w:tcPr>
          <w:p>
            <w:pPr>
              <w:spacing w:after="0"/>
              <w:rPr>
                <w:sz w:val="7"/>
                <w:szCs w:val="7"/>
                <w:color w:val="auto"/>
              </w:rPr>
            </w:pPr>
          </w:p>
        </w:tc>
        <w:tc>
          <w:tcPr>
            <w:tcW w:w="100" w:type="dxa"/>
            <w:vAlign w:val="bottom"/>
          </w:tcPr>
          <w:p>
            <w:pPr>
              <w:spacing w:after="0"/>
              <w:rPr>
                <w:sz w:val="7"/>
                <w:szCs w:val="7"/>
                <w:color w:val="auto"/>
              </w:rPr>
            </w:pPr>
          </w:p>
        </w:tc>
        <w:tc>
          <w:tcPr>
            <w:tcW w:w="2760" w:type="dxa"/>
            <w:vAlign w:val="bottom"/>
          </w:tcPr>
          <w:p>
            <w:pPr>
              <w:spacing w:after="0"/>
              <w:rPr>
                <w:sz w:val="7"/>
                <w:szCs w:val="7"/>
                <w:color w:val="auto"/>
              </w:rPr>
            </w:pPr>
          </w:p>
        </w:tc>
        <w:tc>
          <w:tcPr>
            <w:tcW w:w="0" w:type="dxa"/>
            <w:vAlign w:val="bottom"/>
          </w:tcPr>
          <w:p>
            <w:pPr>
              <w:spacing w:after="0"/>
              <w:rPr>
                <w:sz w:val="1"/>
                <w:szCs w:val="1"/>
                <w:color w:val="auto"/>
              </w:rPr>
            </w:pPr>
          </w:p>
        </w:tc>
      </w:tr>
    </w:tbl>
    <w:p>
      <w:pPr>
        <w:sectPr>
          <w:pgSz w:w="10800" w:h="15600" w:orient="portrait"/>
          <w:cols w:equalWidth="0" w:num="1">
            <w:col w:w="8980"/>
          </w:cols>
          <w:pgMar w:left="1160" w:top="761" w:right="660" w:bottom="1440" w:gutter="0" w:footer="0" w:header="0"/>
        </w:sectPr>
      </w:pPr>
    </w:p>
    <w:bookmarkStart w:id="1" w:name="page2"/>
    <w:bookmarkEnd w:id="1"/>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5513705</wp:posOffset>
            </wp:positionH>
            <wp:positionV relativeFrom="page">
              <wp:posOffset>259080</wp:posOffset>
            </wp:positionV>
            <wp:extent cx="932815" cy="10515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932815" cy="1051560"/>
                    </a:xfrm>
                    <a:prstGeom prst="rect">
                      <a:avLst/>
                    </a:prstGeom>
                    <a:noFill/>
                  </pic:spPr>
                </pic:pic>
              </a:graphicData>
            </a:graphic>
          </wp:anchor>
        </w:drawing>
      </w:r>
    </w:p>
    <w:tbl>
      <w:tblPr>
        <w:tblLayout w:type="fixed"/>
        <w:tblInd w:w="600" w:type="dxa"/>
        <w:tblCellMar>
          <w:top w:w="0" w:type="dxa"/>
          <w:left w:w="0" w:type="dxa"/>
          <w:bottom w:w="0" w:type="dxa"/>
          <w:right w:w="0" w:type="dxa"/>
        </w:tblCellMar>
      </w:tblPr>
      <w:tr>
        <w:trPr>
          <w:trHeight w:val="317"/>
        </w:trPr>
        <w:tc>
          <w:tcPr>
            <w:tcW w:w="7360" w:type="dxa"/>
            <w:vAlign w:val="bottom"/>
            <w:vMerge w:val="restart"/>
          </w:tcPr>
          <w:p>
            <w:pPr>
              <w:spacing w:after="0" w:line="528" w:lineRule="exact"/>
              <w:rPr>
                <w:sz w:val="20"/>
                <w:szCs w:val="20"/>
                <w:color w:val="auto"/>
              </w:rPr>
            </w:pPr>
            <w:r>
              <w:rPr>
                <w:rFonts w:ascii="Microsoft YaHei" w:cs="Microsoft YaHei" w:eastAsia="Microsoft YaHei" w:hAnsi="Microsoft YaHei"/>
                <w:sz w:val="40"/>
                <w:szCs w:val="40"/>
                <w:color w:val="08788C"/>
              </w:rPr>
              <w:t>掌握在跨文化、多种族环境中</w:t>
            </w:r>
          </w:p>
        </w:tc>
        <w:tc>
          <w:tcPr>
            <w:tcW w:w="1600" w:type="dxa"/>
            <w:vAlign w:val="bottom"/>
          </w:tcPr>
          <w:p>
            <w:pPr>
              <w:jc w:val="center"/>
              <w:ind w:left="380"/>
              <w:spacing w:after="0" w:line="317" w:lineRule="exact"/>
              <w:rPr>
                <w:sz w:val="20"/>
                <w:szCs w:val="20"/>
                <w:color w:val="auto"/>
              </w:rPr>
            </w:pPr>
            <w:r>
              <w:rPr>
                <w:rFonts w:ascii="Microsoft YaHei" w:cs="Microsoft YaHei" w:eastAsia="Microsoft YaHei" w:hAnsi="Microsoft YaHei"/>
                <w:sz w:val="24"/>
                <w:szCs w:val="24"/>
                <w:color w:val="08788C"/>
              </w:rPr>
              <w:t>课程时间</w:t>
            </w:r>
          </w:p>
        </w:tc>
        <w:tc>
          <w:tcPr>
            <w:tcW w:w="0" w:type="dxa"/>
            <w:vAlign w:val="bottom"/>
          </w:tcPr>
          <w:p>
            <w:pPr>
              <w:spacing w:after="0"/>
              <w:rPr>
                <w:sz w:val="1"/>
                <w:szCs w:val="1"/>
                <w:color w:val="auto"/>
              </w:rPr>
            </w:pPr>
          </w:p>
        </w:tc>
      </w:tr>
      <w:tr>
        <w:trPr>
          <w:trHeight w:val="426"/>
        </w:trPr>
        <w:tc>
          <w:tcPr>
            <w:tcW w:w="7360" w:type="dxa"/>
            <w:vAlign w:val="bottom"/>
            <w:vMerge w:val="continue"/>
          </w:tcPr>
          <w:p>
            <w:pPr>
              <w:spacing w:after="0"/>
              <w:rPr>
                <w:sz w:val="24"/>
                <w:szCs w:val="24"/>
                <w:color w:val="auto"/>
              </w:rPr>
            </w:pPr>
          </w:p>
        </w:tc>
        <w:tc>
          <w:tcPr>
            <w:tcW w:w="1600" w:type="dxa"/>
            <w:vAlign w:val="bottom"/>
            <w:vMerge w:val="restart"/>
          </w:tcPr>
          <w:p>
            <w:pPr>
              <w:jc w:val="center"/>
              <w:ind w:left="400"/>
              <w:spacing w:after="0" w:line="528" w:lineRule="exact"/>
              <w:rPr>
                <w:sz w:val="20"/>
                <w:szCs w:val="20"/>
                <w:color w:val="auto"/>
              </w:rPr>
            </w:pPr>
            <w:r>
              <w:rPr>
                <w:rFonts w:ascii="Century Gothic" w:cs="Century Gothic" w:eastAsia="Century Gothic" w:hAnsi="Century Gothic"/>
                <w:sz w:val="40"/>
                <w:szCs w:val="40"/>
                <w:color w:val="08788C"/>
                <w:w w:val="92"/>
              </w:rPr>
              <w:t xml:space="preserve">2 </w:t>
            </w:r>
            <w:r>
              <w:rPr>
                <w:rFonts w:ascii="Microsoft YaHei" w:cs="Microsoft YaHei" w:eastAsia="Microsoft YaHei" w:hAnsi="Microsoft YaHei"/>
                <w:sz w:val="40"/>
                <w:szCs w:val="40"/>
                <w:color w:val="08788C"/>
                <w:w w:val="92"/>
              </w:rPr>
              <w:t>天</w:t>
            </w:r>
          </w:p>
        </w:tc>
        <w:tc>
          <w:tcPr>
            <w:tcW w:w="0" w:type="dxa"/>
            <w:vAlign w:val="bottom"/>
          </w:tcPr>
          <w:p>
            <w:pPr>
              <w:spacing w:after="0"/>
              <w:rPr>
                <w:sz w:val="1"/>
                <w:szCs w:val="1"/>
                <w:color w:val="auto"/>
              </w:rPr>
            </w:pPr>
          </w:p>
        </w:tc>
      </w:tr>
      <w:tr>
        <w:trPr>
          <w:trHeight w:val="201"/>
        </w:trPr>
        <w:tc>
          <w:tcPr>
            <w:tcW w:w="7360" w:type="dxa"/>
            <w:vAlign w:val="bottom"/>
          </w:tcPr>
          <w:p>
            <w:pPr>
              <w:spacing w:after="0"/>
              <w:rPr>
                <w:sz w:val="17"/>
                <w:szCs w:val="17"/>
                <w:color w:val="auto"/>
              </w:rPr>
            </w:pPr>
          </w:p>
        </w:tc>
        <w:tc>
          <w:tcPr>
            <w:tcW w:w="160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19"/>
        </w:trPr>
        <w:tc>
          <w:tcPr>
            <w:tcW w:w="7360" w:type="dxa"/>
            <w:vAlign w:val="bottom"/>
          </w:tcPr>
          <w:p>
            <w:pPr>
              <w:spacing w:after="0" w:line="517" w:lineRule="exact"/>
              <w:rPr>
                <w:sz w:val="20"/>
                <w:szCs w:val="20"/>
                <w:color w:val="auto"/>
              </w:rPr>
            </w:pPr>
            <w:r>
              <w:rPr>
                <w:rFonts w:ascii="Microsoft YaHei" w:cs="Microsoft YaHei" w:eastAsia="Microsoft YaHei" w:hAnsi="Microsoft YaHei"/>
                <w:sz w:val="40"/>
                <w:szCs w:val="40"/>
                <w:color w:val="08788C"/>
              </w:rPr>
              <w:t>如何有效地与不同部门及地域开展合作</w:t>
            </w:r>
          </w:p>
        </w:tc>
        <w:tc>
          <w:tcPr>
            <w:tcW w:w="16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80" w:lineRule="exact"/>
        <w:rPr>
          <w:sz w:val="20"/>
          <w:szCs w:val="20"/>
          <w:color w:val="auto"/>
        </w:rPr>
      </w:pPr>
    </w:p>
    <w:p>
      <w:pPr>
        <w:jc w:val="center"/>
        <w:ind w:right="60"/>
        <w:spacing w:after="0" w:line="476" w:lineRule="exact"/>
        <w:rPr>
          <w:sz w:val="20"/>
          <w:szCs w:val="20"/>
          <w:color w:val="auto"/>
        </w:rPr>
      </w:pPr>
      <w:r>
        <w:rPr>
          <w:rFonts w:ascii="Microsoft YaHei" w:cs="Microsoft YaHei" w:eastAsia="Microsoft YaHei" w:hAnsi="Microsoft YaHei"/>
          <w:sz w:val="36"/>
          <w:szCs w:val="36"/>
          <w:color w:val="08788C"/>
        </w:rPr>
        <w:t>有效调解由文化冲击带来沟通、冲突、团队领导等挑战</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365125</wp:posOffset>
                </wp:positionH>
                <wp:positionV relativeFrom="paragraph">
                  <wp:posOffset>170180</wp:posOffset>
                </wp:positionV>
                <wp:extent cx="564705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7055" cy="4763"/>
                        </a:xfrm>
                        <a:prstGeom prst="line">
                          <a:avLst/>
                        </a:prstGeom>
                        <a:solidFill>
                          <a:srgbClr val="FFFFFF"/>
                        </a:solidFill>
                        <a:ln w="38100">
                          <a:solidFill>
                            <a:srgbClr val="1E8083"/>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75pt,13.4pt" to="473.4pt,13.4pt" o:allowincell="f" strokecolor="#1E8083" strokeweight="3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both"/>
        <w:ind w:left="660" w:right="460"/>
        <w:spacing w:after="0" w:line="369" w:lineRule="exact"/>
        <w:rPr>
          <w:sz w:val="20"/>
          <w:szCs w:val="20"/>
          <w:color w:val="auto"/>
        </w:rPr>
      </w:pPr>
      <w:r>
        <w:rPr>
          <w:rFonts w:ascii="Microsoft YaHei" w:cs="Microsoft YaHei" w:eastAsia="Microsoft YaHei" w:hAnsi="Microsoft YaHei"/>
          <w:sz w:val="22"/>
          <w:szCs w:val="22"/>
          <w:color w:val="auto"/>
        </w:rPr>
        <w:t>为应对业务全球化发展需要，越来越多中企迈开了</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走出去</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的步伐。全球化进程中，市场竞争的焦点是人才的竞争。中国企业的国际化战略需要相应的高素质人才来支撑，这都对企业财务提出了新的要求与挑战。</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走出去</w:t>
      </w:r>
      <w:r>
        <w:rPr>
          <w:rFonts w:ascii="Century Gothic" w:cs="Century Gothic" w:eastAsia="Century Gothic" w:hAnsi="Century Gothic"/>
          <w:sz w:val="22"/>
          <w:szCs w:val="22"/>
          <w:color w:val="auto"/>
        </w:rPr>
        <w:t>”</w:t>
      </w:r>
      <w:r>
        <w:rPr>
          <w:rFonts w:ascii="Microsoft YaHei" w:cs="Microsoft YaHei" w:eastAsia="Microsoft YaHei" w:hAnsi="Microsoft YaHei"/>
          <w:sz w:val="22"/>
          <w:szCs w:val="22"/>
          <w:color w:val="auto"/>
        </w:rPr>
        <w:t>战略需要的是战略型、经营性的财务人员，财务必须从各方面更新自身知识结构和技能才能够胜任新的角色。</w:t>
      </w:r>
    </w:p>
    <w:p>
      <w:pPr>
        <w:spacing w:after="0" w:line="200" w:lineRule="exact"/>
        <w:rPr>
          <w:sz w:val="20"/>
          <w:szCs w:val="20"/>
          <w:color w:val="auto"/>
        </w:rPr>
      </w:pPr>
    </w:p>
    <w:p>
      <w:pPr>
        <w:spacing w:after="0" w:line="309" w:lineRule="exact"/>
        <w:rPr>
          <w:sz w:val="20"/>
          <w:szCs w:val="20"/>
          <w:color w:val="auto"/>
        </w:rPr>
      </w:pPr>
    </w:p>
    <w:p>
      <w:pPr>
        <w:ind w:left="660" w:right="220"/>
        <w:spacing w:after="0" w:line="377" w:lineRule="exact"/>
        <w:rPr>
          <w:sz w:val="20"/>
          <w:szCs w:val="20"/>
          <w:color w:val="auto"/>
        </w:rPr>
      </w:pPr>
      <w:r>
        <w:rPr>
          <w:rFonts w:ascii="Microsoft YaHei" w:cs="Microsoft YaHei" w:eastAsia="Microsoft YaHei" w:hAnsi="Microsoft YaHei"/>
          <w:sz w:val="22"/>
          <w:szCs w:val="22"/>
          <w:color w:val="auto"/>
        </w:rPr>
        <w:t>安越深度研究企业全球化进程中的财务人才赋能需求，重磅推出《国际化财务发展与多元化团队管理》课程，从企业全球化及本土化发展需要出发，阐述多元文化对日益国际化商务的影响，了解财务在公司国际化发展和高层决策管理的重要地位。从老师多年在不同国家经历的全球化管理和国际化财务管理经验出发，讲述国际化财务的组织架构及工作性质、如何在跨文化、多种族环境中有效地管理团队、与不同的非财务部门和地域分公司机构合作，包括此类工作所需具备的个人素养，以及如何提升个人能力等环节。</w:t>
      </w:r>
    </w:p>
    <w:p>
      <w:pPr>
        <w:spacing w:after="0" w:line="200" w:lineRule="exact"/>
        <w:rPr>
          <w:sz w:val="20"/>
          <w:szCs w:val="20"/>
          <w:color w:val="auto"/>
        </w:rPr>
      </w:pPr>
    </w:p>
    <w:p>
      <w:pPr>
        <w:spacing w:after="0" w:line="314" w:lineRule="exact"/>
        <w:rPr>
          <w:sz w:val="20"/>
          <w:szCs w:val="20"/>
          <w:color w:val="auto"/>
        </w:rPr>
      </w:pPr>
    </w:p>
    <w:p>
      <w:pPr>
        <w:jc w:val="both"/>
        <w:ind w:left="660" w:right="460"/>
        <w:spacing w:after="0" w:line="368" w:lineRule="exact"/>
        <w:rPr>
          <w:sz w:val="20"/>
          <w:szCs w:val="20"/>
          <w:color w:val="auto"/>
        </w:rPr>
      </w:pPr>
      <w:r>
        <w:rPr>
          <w:rFonts w:ascii="Microsoft YaHei" w:cs="Microsoft YaHei" w:eastAsia="Microsoft YaHei" w:hAnsi="Microsoft YaHei"/>
          <w:sz w:val="22"/>
          <w:szCs w:val="22"/>
          <w:color w:val="auto"/>
        </w:rPr>
        <w:t>本课程《国际化财务发展与多元化团队管理》将细数财务管理人员在国际化的商务环境中的各种专业和人文方面的挑战。。从中国经理人的角度和需求出发，建议中国财务经理怎样在国际化发展中，提升人文素养，克服文化与沟通障碍，与当地团队、外部机构等有效地工作和沟通。</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580"/>
        <w:spacing w:after="0" w:line="370" w:lineRule="exact"/>
        <w:rPr>
          <w:sz w:val="20"/>
          <w:szCs w:val="20"/>
          <w:color w:val="auto"/>
        </w:rPr>
      </w:pPr>
      <w:r>
        <w:rPr>
          <w:rFonts w:ascii="Microsoft YaHei" w:cs="Microsoft YaHei" w:eastAsia="Microsoft YaHei" w:hAnsi="Microsoft YaHei"/>
          <w:sz w:val="28"/>
          <w:szCs w:val="28"/>
          <w:color w:val="08788C"/>
        </w:rPr>
        <w:t>课程收益</w:t>
      </w:r>
    </w:p>
    <w:p>
      <w:pPr>
        <w:spacing w:after="0" w:line="200" w:lineRule="exact"/>
        <w:rPr>
          <w:sz w:val="20"/>
          <w:szCs w:val="20"/>
          <w:color w:val="auto"/>
        </w:rPr>
      </w:pPr>
    </w:p>
    <w:p>
      <w:pPr>
        <w:spacing w:after="0" w:line="271" w:lineRule="exact"/>
        <w:rPr>
          <w:sz w:val="20"/>
          <w:szCs w:val="20"/>
          <w:color w:val="auto"/>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把握财务管理人员在国际化的商务环境中的各种专业和人文方面的挑战</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提升国际化财务经理为满足海外业务快速发展的需要所应该具备的专业能力和知识</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掌握在多元文化环境中的沟通、管理及领导能力</w:t>
      </w:r>
    </w:p>
    <w:p>
      <w:pPr>
        <w:spacing w:after="0" w:line="105" w:lineRule="exact"/>
        <w:rPr>
          <w:rFonts w:ascii="Wingdings" w:cs="Wingdings" w:eastAsia="Wingdings" w:hAnsi="Wingdings"/>
          <w:sz w:val="11"/>
          <w:szCs w:val="11"/>
          <w:b w:val="1"/>
          <w:bCs w:val="1"/>
          <w:color w:val="08788C"/>
        </w:rPr>
      </w:pPr>
    </w:p>
    <w:p>
      <w:pPr>
        <w:ind w:left="920" w:hanging="269"/>
        <w:spacing w:after="0" w:line="291" w:lineRule="exact"/>
        <w:tabs>
          <w:tab w:leader="none" w:pos="920" w:val="left"/>
        </w:tabs>
        <w:numPr>
          <w:ilvl w:val="0"/>
          <w:numId w:val="1"/>
        </w:numPr>
        <w:rPr>
          <w:rFonts w:ascii="Wingdings" w:cs="Wingdings" w:eastAsia="Wingdings" w:hAnsi="Wingdings"/>
          <w:sz w:val="11"/>
          <w:szCs w:val="11"/>
          <w:b w:val="1"/>
          <w:bCs w:val="1"/>
          <w:color w:val="08788C"/>
        </w:rPr>
      </w:pPr>
      <w:r>
        <w:rPr>
          <w:rFonts w:ascii="Microsoft YaHei" w:cs="Microsoft YaHei" w:eastAsia="Microsoft YaHei" w:hAnsi="Microsoft YaHei"/>
          <w:sz w:val="22"/>
          <w:szCs w:val="22"/>
          <w:color w:val="auto"/>
        </w:rPr>
        <w:t>帮助国际化财务经理克服文化与沟通障碍，与当地团队、外部机构等有效地工作和沟通</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47625</wp:posOffset>
                </wp:positionH>
                <wp:positionV relativeFrom="paragraph">
                  <wp:posOffset>861695</wp:posOffset>
                </wp:positionV>
                <wp:extent cx="624522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522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pt,67.85pt" to="495.5pt,67.85pt" o:allowincell="f" strokecolor="#08788C" strokeweight="0.96pt"/>
            </w:pict>
          </mc:Fallback>
        </mc:AlternateContent>
      </w:r>
    </w:p>
    <w:p>
      <w:pPr>
        <w:sectPr>
          <w:pgSz w:w="10800" w:h="15600" w:orient="portrait"/>
          <w:cols w:equalWidth="0" w:num="1">
            <w:col w:w="9900"/>
          </w:cols>
          <w:pgMar w:left="400" w:top="775" w:right="5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line="229" w:lineRule="exact"/>
        <w:tabs>
          <w:tab w:leader="none" w:pos="8100" w:val="left"/>
        </w:tabs>
        <w:rPr>
          <w:sz w:val="20"/>
          <w:szCs w:val="20"/>
          <w:color w:val="auto"/>
        </w:rPr>
      </w:pPr>
      <w:r>
        <w:rPr>
          <w:rFonts w:ascii="Microsoft JhengHei UI Light" w:cs="Microsoft JhengHei UI Light" w:eastAsia="Microsoft JhengHei UI Light" w:hAnsi="Microsoft JhengHei UI Light"/>
          <w:sz w:val="18"/>
          <w:szCs w:val="18"/>
          <w:color w:val="auto"/>
        </w:rPr>
        <w:t>《国际化财务与跨文化团队管理》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01</w:t>
      </w:r>
    </w:p>
    <w:p>
      <w:pPr>
        <w:sectPr>
          <w:pgSz w:w="10800" w:h="15600" w:orient="portrait"/>
          <w:cols w:equalWidth="0" w:num="1">
            <w:col w:w="9900"/>
          </w:cols>
          <w:pgMar w:left="400" w:top="775" w:right="500" w:bottom="0" w:gutter="0" w:footer="0" w:header="0"/>
          <w:type w:val="continuous"/>
        </w:sectPr>
      </w:pPr>
    </w:p>
    <w:bookmarkStart w:id="2" w:name="page3"/>
    <w:bookmarkEnd w:id="2"/>
    <w:p>
      <w:pPr>
        <w:ind w:left="5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301625</wp:posOffset>
            </wp:positionH>
            <wp:positionV relativeFrom="page">
              <wp:posOffset>280670</wp:posOffset>
            </wp:positionV>
            <wp:extent cx="6245225" cy="89154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6245225" cy="8915400"/>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840"/>
        <w:spacing w:after="0" w:line="462" w:lineRule="exact"/>
        <w:rPr>
          <w:sz w:val="20"/>
          <w:szCs w:val="20"/>
          <w:color w:val="auto"/>
        </w:rPr>
      </w:pPr>
      <w:r>
        <w:rPr>
          <w:rFonts w:ascii="Microsoft YaHei" w:cs="Microsoft YaHei" w:eastAsia="Microsoft YaHei" w:hAnsi="Microsoft YaHei"/>
          <w:sz w:val="35"/>
          <w:szCs w:val="35"/>
          <w:b w:val="1"/>
          <w:bCs w:val="1"/>
          <w:color w:val="08788C"/>
        </w:rPr>
        <w:t>第一模块：跨国发展的新挑战</w:t>
      </w:r>
    </w:p>
    <w:p>
      <w:pPr>
        <w:sectPr>
          <w:pgSz w:w="10800" w:h="15600" w:orient="portrait"/>
          <w:cols w:equalWidth="0" w:num="1">
            <w:col w:w="9900"/>
          </w:cols>
          <w:pgMar w:left="400" w:top="710" w:right="500" w:bottom="0" w:gutter="0" w:footer="0" w:header="0"/>
        </w:sectPr>
      </w:pPr>
    </w:p>
    <w:p>
      <w:pPr>
        <w:spacing w:after="0" w:line="324" w:lineRule="exact"/>
        <w:rPr>
          <w:sz w:val="20"/>
          <w:szCs w:val="20"/>
          <w:color w:val="auto"/>
        </w:rPr>
      </w:pPr>
    </w:p>
    <w:p>
      <w:pPr>
        <w:ind w:left="840"/>
        <w:spacing w:after="0"/>
        <w:rPr>
          <w:sz w:val="20"/>
          <w:szCs w:val="20"/>
          <w:color w:val="auto"/>
        </w:rPr>
      </w:pPr>
      <w:r>
        <w:rPr>
          <w:rFonts w:ascii="Arial" w:cs="Arial" w:eastAsia="Arial" w:hAnsi="Arial"/>
          <w:sz w:val="16"/>
          <w:szCs w:val="16"/>
          <w:color w:val="221E1F"/>
        </w:rPr>
        <w:t>•</w:t>
      </w:r>
    </w:p>
    <w:p>
      <w:pPr>
        <w:spacing w:after="0" w:line="212" w:lineRule="exact"/>
        <w:rPr>
          <w:sz w:val="20"/>
          <w:szCs w:val="20"/>
          <w:color w:val="auto"/>
        </w:rPr>
      </w:pPr>
    </w:p>
    <w:p>
      <w:pPr>
        <w:ind w:left="840"/>
        <w:spacing w:after="0"/>
        <w:rPr>
          <w:sz w:val="20"/>
          <w:szCs w:val="20"/>
          <w:color w:val="auto"/>
        </w:rPr>
      </w:pPr>
      <w:r>
        <w:rPr>
          <w:rFonts w:ascii="Arial" w:cs="Arial" w:eastAsia="Arial" w:hAnsi="Arial"/>
          <w:sz w:val="16"/>
          <w:szCs w:val="16"/>
          <w:color w:val="221E1F"/>
        </w:rPr>
        <w:t>•</w:t>
      </w:r>
    </w:p>
    <w:p>
      <w:pPr>
        <w:spacing w:after="0" w:line="212" w:lineRule="exact"/>
        <w:rPr>
          <w:sz w:val="20"/>
          <w:szCs w:val="20"/>
          <w:color w:val="auto"/>
        </w:rPr>
      </w:pPr>
    </w:p>
    <w:p>
      <w:pPr>
        <w:ind w:left="840"/>
        <w:spacing w:after="0"/>
        <w:rPr>
          <w:sz w:val="20"/>
          <w:szCs w:val="20"/>
          <w:color w:val="auto"/>
        </w:rPr>
      </w:pPr>
      <w:r>
        <w:rPr>
          <w:rFonts w:ascii="Arial" w:cs="Arial" w:eastAsia="Arial" w:hAnsi="Arial"/>
          <w:sz w:val="16"/>
          <w:szCs w:val="16"/>
          <w:color w:val="221E1F"/>
        </w:rPr>
        <w:t>•</w:t>
      </w:r>
    </w:p>
    <w:p>
      <w:pPr>
        <w:spacing w:after="0" w:line="212" w:lineRule="exact"/>
        <w:rPr>
          <w:sz w:val="20"/>
          <w:szCs w:val="20"/>
          <w:color w:val="auto"/>
        </w:rPr>
      </w:pPr>
    </w:p>
    <w:p>
      <w:pPr>
        <w:ind w:left="840"/>
        <w:spacing w:after="0"/>
        <w:rPr>
          <w:sz w:val="20"/>
          <w:szCs w:val="20"/>
          <w:color w:val="auto"/>
        </w:rPr>
      </w:pPr>
      <w:r>
        <w:rPr>
          <w:rFonts w:ascii="Arial" w:cs="Arial" w:eastAsia="Arial" w:hAnsi="Arial"/>
          <w:sz w:val="16"/>
          <w:szCs w:val="16"/>
          <w:color w:val="221E1F"/>
        </w:rPr>
        <w:t>•</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全球化的六大管理挑战</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财务：跨国企业的核心沟通渠道</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跨国财务管理理念及职能要求</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中国籍管理者国际化管理的挑战</w:t>
      </w:r>
    </w:p>
    <w:p>
      <w:pPr>
        <w:spacing w:after="0" w:line="200" w:lineRule="exact"/>
        <w:rPr>
          <w:sz w:val="20"/>
          <w:szCs w:val="20"/>
          <w:color w:val="auto"/>
        </w:rPr>
      </w:pPr>
    </w:p>
    <w:p>
      <w:pPr>
        <w:sectPr>
          <w:pgSz w:w="10800" w:h="15600" w:orient="portrait"/>
          <w:cols w:equalWidth="0" w:num="2">
            <w:col w:w="900" w:space="200"/>
            <w:col w:w="8800"/>
          </w:cols>
          <w:pgMar w:left="400" w:top="710"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840"/>
        <w:spacing w:after="0" w:line="462" w:lineRule="exact"/>
        <w:rPr>
          <w:sz w:val="20"/>
          <w:szCs w:val="20"/>
          <w:color w:val="auto"/>
        </w:rPr>
      </w:pPr>
      <w:r>
        <w:rPr>
          <w:rFonts w:ascii="Microsoft YaHei" w:cs="Microsoft YaHei" w:eastAsia="Microsoft YaHei" w:hAnsi="Microsoft YaHei"/>
          <w:sz w:val="35"/>
          <w:szCs w:val="35"/>
          <w:b w:val="1"/>
          <w:bCs w:val="1"/>
          <w:color w:val="08788C"/>
        </w:rPr>
        <w:t>第二模块：跨国管理对风控的新要求</w:t>
      </w:r>
    </w:p>
    <w:p>
      <w:pPr>
        <w:sectPr>
          <w:pgSz w:w="10800" w:h="15600" w:orient="portrait"/>
          <w:cols w:equalWidth="0" w:num="1">
            <w:col w:w="9900"/>
          </w:cols>
          <w:pgMar w:left="400" w:top="710" w:right="500" w:bottom="0" w:gutter="0" w:footer="0" w:header="0"/>
          <w:type w:val="continuous"/>
        </w:sectPr>
      </w:pPr>
    </w:p>
    <w:p>
      <w:pPr>
        <w:spacing w:after="0" w:line="324"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08788C"/>
        </w:rPr>
        <w:t>•</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跨国公司的综合经营风险因素</w:t>
      </w:r>
    </w:p>
    <w:p>
      <w:pPr>
        <w:spacing w:after="0" w:line="111" w:lineRule="exact"/>
        <w:rPr>
          <w:sz w:val="20"/>
          <w:szCs w:val="20"/>
          <w:color w:val="auto"/>
        </w:rPr>
      </w:pPr>
    </w:p>
    <w:p>
      <w:pPr>
        <w:ind w:right="3280"/>
        <w:spacing w:after="0" w:line="340" w:lineRule="exact"/>
        <w:rPr>
          <w:sz w:val="20"/>
          <w:szCs w:val="20"/>
          <w:color w:val="auto"/>
        </w:rPr>
      </w:pPr>
      <w:r>
        <w:rPr>
          <w:rFonts w:ascii="Microsoft YaHei" w:cs="Microsoft YaHei" w:eastAsia="Microsoft YaHei" w:hAnsi="Microsoft YaHei"/>
          <w:sz w:val="22"/>
          <w:szCs w:val="22"/>
          <w:color w:val="221E1F"/>
        </w:rPr>
        <w:t>全球化经营的风险、战略、投融资、经营对内控的高要求风险意识的强化、识别与预测</w:t>
      </w:r>
    </w:p>
    <w:p>
      <w:pPr>
        <w:spacing w:after="0" w:line="112" w:lineRule="exact"/>
        <w:rPr>
          <w:sz w:val="20"/>
          <w:szCs w:val="20"/>
          <w:color w:val="auto"/>
        </w:rPr>
      </w:pPr>
    </w:p>
    <w:p>
      <w:pPr>
        <w:ind w:right="4180"/>
        <w:spacing w:after="0" w:line="340" w:lineRule="exact"/>
        <w:rPr>
          <w:sz w:val="20"/>
          <w:szCs w:val="20"/>
          <w:color w:val="auto"/>
        </w:rPr>
      </w:pPr>
      <w:r>
        <w:rPr>
          <w:rFonts w:ascii="Microsoft YaHei" w:cs="Microsoft YaHei" w:eastAsia="Microsoft YaHei" w:hAnsi="Microsoft YaHei"/>
          <w:sz w:val="22"/>
          <w:szCs w:val="22"/>
          <w:color w:val="221E1F"/>
        </w:rPr>
        <w:t>风控意识、内控机制和团队以及防范应急的执行</w:t>
      </w:r>
      <w:r>
        <w:rPr>
          <w:rFonts w:ascii="Microsoft YaHei" w:cs="Microsoft YaHei" w:eastAsia="Microsoft YaHei" w:hAnsi="Microsoft YaHei"/>
          <w:sz w:val="22"/>
          <w:szCs w:val="22"/>
          <w:color w:val="08788C"/>
        </w:rPr>
        <w:t>案例：国际化风险、货币汇率、经济危机</w:t>
      </w:r>
    </w:p>
    <w:p>
      <w:pPr>
        <w:spacing w:after="0" w:line="200" w:lineRule="exact"/>
        <w:rPr>
          <w:sz w:val="20"/>
          <w:szCs w:val="20"/>
          <w:color w:val="auto"/>
        </w:rPr>
      </w:pPr>
    </w:p>
    <w:p>
      <w:pPr>
        <w:sectPr>
          <w:pgSz w:w="10800" w:h="15600" w:orient="portrait"/>
          <w:cols w:equalWidth="0" w:num="2">
            <w:col w:w="880" w:space="220"/>
            <w:col w:w="8800"/>
          </w:cols>
          <w:pgMar w:left="400" w:top="710"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840"/>
        <w:spacing w:after="0" w:line="462" w:lineRule="exact"/>
        <w:rPr>
          <w:sz w:val="20"/>
          <w:szCs w:val="20"/>
          <w:color w:val="auto"/>
        </w:rPr>
      </w:pPr>
      <w:r>
        <w:rPr>
          <w:rFonts w:ascii="Microsoft YaHei" w:cs="Microsoft YaHei" w:eastAsia="Microsoft YaHei" w:hAnsi="Microsoft YaHei"/>
          <w:sz w:val="35"/>
          <w:szCs w:val="35"/>
          <w:b w:val="1"/>
          <w:bCs w:val="1"/>
          <w:color w:val="08788C"/>
        </w:rPr>
        <w:t>第三模块：国际化业务发展的经营决策与沟通</w:t>
      </w:r>
    </w:p>
    <w:p>
      <w:pPr>
        <w:sectPr>
          <w:pgSz w:w="10800" w:h="15600" w:orient="portrait"/>
          <w:cols w:equalWidth="0" w:num="1">
            <w:col w:w="9900"/>
          </w:cols>
          <w:pgMar w:left="400" w:top="710" w:right="500" w:bottom="0" w:gutter="0" w:footer="0" w:header="0"/>
          <w:type w:val="continuous"/>
        </w:sectPr>
      </w:pPr>
    </w:p>
    <w:p>
      <w:pPr>
        <w:spacing w:after="0" w:line="314"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0" w:lineRule="exact"/>
        <w:rPr>
          <w:sz w:val="20"/>
          <w:szCs w:val="20"/>
          <w:color w:val="auto"/>
        </w:rPr>
      </w:pPr>
      <w:r>
        <w:rPr>
          <w:sz w:val="20"/>
          <w:szCs w:val="20"/>
          <w:color w:val="auto"/>
        </w:rPr>
        <w:br w:type="column"/>
      </w:r>
    </w:p>
    <w:p>
      <w:pPr>
        <w:spacing w:after="0" w:line="22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中外企业的财务地位和职能诉求</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如何协助业务经营决策主要管理环节及挑战</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七个管理环节的常见挑战</w:t>
      </w:r>
    </w:p>
    <w:p>
      <w:pPr>
        <w:spacing w:after="0" w:line="111" w:lineRule="exact"/>
        <w:rPr>
          <w:sz w:val="20"/>
          <w:szCs w:val="20"/>
          <w:color w:val="auto"/>
        </w:rPr>
      </w:pPr>
    </w:p>
    <w:p>
      <w:pPr>
        <w:spacing w:after="0" w:line="278" w:lineRule="exact"/>
        <w:rPr>
          <w:sz w:val="20"/>
          <w:szCs w:val="20"/>
          <w:color w:val="auto"/>
        </w:rPr>
      </w:pPr>
      <w:r>
        <w:rPr>
          <w:rFonts w:ascii="Microsoft YaHei" w:cs="Microsoft YaHei" w:eastAsia="Microsoft YaHei" w:hAnsi="Microsoft YaHei"/>
          <w:sz w:val="21"/>
          <w:szCs w:val="21"/>
          <w:color w:val="221E1F"/>
        </w:rPr>
        <w:t>在复杂的经济文化环境下，进行跨职能、跨文化、跨地域的有效沟通</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-650240</wp:posOffset>
                </wp:positionH>
                <wp:positionV relativeFrom="paragraph">
                  <wp:posOffset>1710690</wp:posOffset>
                </wp:positionV>
                <wp:extent cx="624459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4590"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999pt,134.7pt" to="440.5pt,134.7pt" o:allowincell="f" strokecolor="#08788C" strokeweight="0.96pt"/>
            </w:pict>
          </mc:Fallback>
        </mc:AlternateContent>
      </w:r>
    </w:p>
    <w:p>
      <w:pPr>
        <w:spacing w:after="0" w:line="200" w:lineRule="exact"/>
        <w:rPr>
          <w:sz w:val="20"/>
          <w:szCs w:val="20"/>
          <w:color w:val="auto"/>
        </w:rPr>
      </w:pPr>
    </w:p>
    <w:p>
      <w:pPr>
        <w:sectPr>
          <w:pgSz w:w="10800" w:h="15600" w:orient="portrait"/>
          <w:cols w:equalWidth="0" w:num="2">
            <w:col w:w="880" w:space="220"/>
            <w:col w:w="8800"/>
          </w:cols>
          <w:pgMar w:left="400" w:top="710"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line="229" w:lineRule="exact"/>
        <w:tabs>
          <w:tab w:leader="none" w:pos="8080" w:val="left"/>
        </w:tabs>
        <w:rPr>
          <w:sz w:val="20"/>
          <w:szCs w:val="20"/>
          <w:color w:val="auto"/>
        </w:rPr>
      </w:pPr>
      <w:r>
        <w:rPr>
          <w:rFonts w:ascii="Microsoft JhengHei UI Light" w:cs="Microsoft JhengHei UI Light" w:eastAsia="Microsoft JhengHei UI Light" w:hAnsi="Microsoft JhengHei UI Light"/>
          <w:sz w:val="18"/>
          <w:szCs w:val="18"/>
          <w:color w:val="auto"/>
        </w:rPr>
        <w:t>《国际化财务与跨文化团队管理》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02</w:t>
      </w:r>
    </w:p>
    <w:p>
      <w:pPr>
        <w:sectPr>
          <w:pgSz w:w="10800" w:h="15600" w:orient="portrait"/>
          <w:cols w:equalWidth="0" w:num="1">
            <w:col w:w="9900"/>
          </w:cols>
          <w:pgMar w:left="400" w:top="710" w:right="500" w:bottom="0" w:gutter="0" w:footer="0" w:header="0"/>
          <w:type w:val="continuous"/>
        </w:sectPr>
      </w:pPr>
    </w:p>
    <w:bookmarkStart w:id="3" w:name="page4"/>
    <w:bookmarkEnd w:id="3"/>
    <w:p>
      <w:pPr>
        <w:ind w:left="580"/>
        <w:spacing w:after="0" w:line="372" w:lineRule="exact"/>
        <w:rPr>
          <w:sz w:val="20"/>
          <w:szCs w:val="20"/>
          <w:color w:val="auto"/>
        </w:rPr>
      </w:pPr>
      <w:r>
        <w:rPr>
          <w:rFonts w:ascii="Microsoft YaHei" w:cs="Microsoft YaHei" w:eastAsia="Microsoft YaHei" w:hAnsi="Microsoft YaHei"/>
          <w:sz w:val="28"/>
          <w:szCs w:val="28"/>
          <w:color w:val="FFFFFF"/>
        </w:rPr>
        <w:drawing>
          <wp:anchor simplePos="0" relativeHeight="251657728" behindDoc="1" locked="0" layoutInCell="0" allowOverlap="1">
            <wp:simplePos x="0" y="0"/>
            <wp:positionH relativeFrom="page">
              <wp:posOffset>301625</wp:posOffset>
            </wp:positionH>
            <wp:positionV relativeFrom="page">
              <wp:posOffset>280670</wp:posOffset>
            </wp:positionV>
            <wp:extent cx="6245225" cy="89154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extLst>
                        <a:ext uri="{28A0092B-C50C-407E-A947-70E740481C1C}"/>
                      </a:extLst>
                    </a:blip>
                    <a:srcRect/>
                    <a:stretch>
                      <a:fillRect/>
                    </a:stretch>
                  </pic:blipFill>
                  <pic:spPr bwMode="auto">
                    <a:xfrm>
                      <a:off x="0" y="0"/>
                      <a:ext cx="6245225" cy="8915400"/>
                    </a:xfrm>
                    <a:prstGeom prst="rect">
                      <a:avLst/>
                    </a:prstGeom>
                    <a:noFill/>
                  </pic:spPr>
                </pic:pic>
              </a:graphicData>
            </a:graphic>
          </wp:anchor>
        </w:drawing>
        <w:t>课程内容</w:t>
      </w:r>
      <w:r>
        <w:rPr>
          <w:rFonts w:ascii="Calibri" w:cs="Calibri" w:eastAsia="Calibri" w:hAnsi="Calibri"/>
          <w:sz w:val="28"/>
          <w:szCs w:val="28"/>
          <w:color w:val="FFFFFF"/>
        </w:rPr>
        <w:t xml:space="preserve"> / </w:t>
      </w:r>
      <w:r>
        <w:rPr>
          <w:rFonts w:ascii="Calibri" w:cs="Calibri" w:eastAsia="Calibri" w:hAnsi="Calibri"/>
          <w:sz w:val="19"/>
          <w:szCs w:val="19"/>
          <w:color w:val="FFFFFF"/>
        </w:rPr>
        <w:t>COURSE CONTENT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840"/>
        <w:spacing w:after="0" w:line="462" w:lineRule="exact"/>
        <w:rPr>
          <w:sz w:val="20"/>
          <w:szCs w:val="20"/>
          <w:color w:val="auto"/>
        </w:rPr>
      </w:pPr>
      <w:r>
        <w:rPr>
          <w:rFonts w:ascii="Microsoft YaHei" w:cs="Microsoft YaHei" w:eastAsia="Microsoft YaHei" w:hAnsi="Microsoft YaHei"/>
          <w:sz w:val="35"/>
          <w:szCs w:val="35"/>
          <w:b w:val="1"/>
          <w:bCs w:val="1"/>
          <w:color w:val="08788C"/>
        </w:rPr>
        <w:t>第四模块：组织架构与团队管理</w:t>
      </w:r>
    </w:p>
    <w:p>
      <w:pPr>
        <w:sectPr>
          <w:pgSz w:w="10800" w:h="15600" w:orient="portrait"/>
          <w:cols w:equalWidth="0" w:num="1">
            <w:col w:w="9900"/>
          </w:cols>
          <w:pgMar w:left="400" w:top="710" w:right="500" w:bottom="0" w:gutter="0" w:footer="0" w:header="0"/>
        </w:sectPr>
      </w:pPr>
    </w:p>
    <w:p>
      <w:pPr>
        <w:spacing w:after="0" w:line="324" w:lineRule="exact"/>
        <w:rPr>
          <w:sz w:val="20"/>
          <w:szCs w:val="20"/>
          <w:color w:val="auto"/>
        </w:rPr>
      </w:pPr>
    </w:p>
    <w:p>
      <w:pPr>
        <w:ind w:left="840"/>
        <w:spacing w:after="0"/>
        <w:rPr>
          <w:sz w:val="20"/>
          <w:szCs w:val="20"/>
          <w:color w:val="auto"/>
        </w:rPr>
      </w:pPr>
      <w:r>
        <w:rPr>
          <w:rFonts w:ascii="Arial" w:cs="Arial" w:eastAsia="Arial" w:hAnsi="Arial"/>
          <w:sz w:val="16"/>
          <w:szCs w:val="16"/>
          <w:color w:val="221E1F"/>
        </w:rPr>
        <w:t>•</w:t>
      </w:r>
    </w:p>
    <w:p>
      <w:pPr>
        <w:spacing w:after="0" w:line="212" w:lineRule="exact"/>
        <w:rPr>
          <w:sz w:val="20"/>
          <w:szCs w:val="20"/>
          <w:color w:val="auto"/>
        </w:rPr>
      </w:pPr>
    </w:p>
    <w:p>
      <w:pPr>
        <w:ind w:left="840"/>
        <w:spacing w:after="0"/>
        <w:rPr>
          <w:sz w:val="20"/>
          <w:szCs w:val="20"/>
          <w:color w:val="auto"/>
        </w:rPr>
      </w:pPr>
      <w:r>
        <w:rPr>
          <w:rFonts w:ascii="Arial" w:cs="Arial" w:eastAsia="Arial" w:hAnsi="Arial"/>
          <w:sz w:val="16"/>
          <w:szCs w:val="16"/>
          <w:color w:val="221E1F"/>
        </w:rPr>
        <w:t>•</w:t>
      </w:r>
    </w:p>
    <w:p>
      <w:pPr>
        <w:spacing w:after="0" w:line="212" w:lineRule="exact"/>
        <w:rPr>
          <w:sz w:val="20"/>
          <w:szCs w:val="20"/>
          <w:color w:val="auto"/>
        </w:rPr>
      </w:pPr>
    </w:p>
    <w:p>
      <w:pPr>
        <w:ind w:left="840"/>
        <w:spacing w:after="0"/>
        <w:rPr>
          <w:sz w:val="20"/>
          <w:szCs w:val="20"/>
          <w:color w:val="auto"/>
        </w:rPr>
      </w:pPr>
      <w:r>
        <w:rPr>
          <w:rFonts w:ascii="Arial" w:cs="Arial" w:eastAsia="Arial" w:hAnsi="Arial"/>
          <w:sz w:val="16"/>
          <w:szCs w:val="16"/>
          <w:color w:val="221E1F"/>
        </w:rPr>
        <w:t>•</w:t>
      </w:r>
    </w:p>
    <w:p>
      <w:pPr>
        <w:spacing w:after="0" w:line="212" w:lineRule="exact"/>
        <w:rPr>
          <w:sz w:val="20"/>
          <w:szCs w:val="20"/>
          <w:color w:val="auto"/>
        </w:rPr>
      </w:pPr>
    </w:p>
    <w:p>
      <w:pPr>
        <w:ind w:left="840"/>
        <w:spacing w:after="0"/>
        <w:rPr>
          <w:sz w:val="20"/>
          <w:szCs w:val="20"/>
          <w:color w:val="auto"/>
        </w:rPr>
      </w:pPr>
      <w:r>
        <w:rPr>
          <w:rFonts w:ascii="Arial" w:cs="Arial" w:eastAsia="Arial" w:hAnsi="Arial"/>
          <w:sz w:val="16"/>
          <w:szCs w:val="16"/>
          <w:color w:val="08788C"/>
        </w:rPr>
        <w:t>•</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人力资源的培养</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四种企业模式对财务管理的不同挑战</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中资的挑战</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08788C"/>
        </w:rPr>
        <w:t>案例：老师自身工作经验的分享</w:t>
      </w:r>
    </w:p>
    <w:p>
      <w:pPr>
        <w:spacing w:after="0" w:line="200" w:lineRule="exact"/>
        <w:rPr>
          <w:sz w:val="20"/>
          <w:szCs w:val="20"/>
          <w:color w:val="auto"/>
        </w:rPr>
      </w:pPr>
    </w:p>
    <w:p>
      <w:pPr>
        <w:sectPr>
          <w:pgSz w:w="10800" w:h="15600" w:orient="portrait"/>
          <w:cols w:equalWidth="0" w:num="2">
            <w:col w:w="900" w:space="200"/>
            <w:col w:w="8800"/>
          </w:cols>
          <w:pgMar w:left="400" w:top="710"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840"/>
        <w:spacing w:after="0" w:line="462" w:lineRule="exact"/>
        <w:rPr>
          <w:sz w:val="20"/>
          <w:szCs w:val="20"/>
          <w:color w:val="auto"/>
        </w:rPr>
      </w:pPr>
      <w:r>
        <w:rPr>
          <w:rFonts w:ascii="Microsoft YaHei" w:cs="Microsoft YaHei" w:eastAsia="Microsoft YaHei" w:hAnsi="Microsoft YaHei"/>
          <w:sz w:val="35"/>
          <w:szCs w:val="35"/>
          <w:b w:val="1"/>
          <w:bCs w:val="1"/>
          <w:color w:val="08788C"/>
        </w:rPr>
        <w:t>第五模块：跨文化的冲突与团队管理</w:t>
      </w:r>
    </w:p>
    <w:p>
      <w:pPr>
        <w:sectPr>
          <w:pgSz w:w="10800" w:h="15600" w:orient="portrait"/>
          <w:cols w:equalWidth="0" w:num="1">
            <w:col w:w="9900"/>
          </w:cols>
          <w:pgMar w:left="400" w:top="710" w:right="500" w:bottom="0" w:gutter="0" w:footer="0" w:header="0"/>
          <w:type w:val="continuous"/>
        </w:sectPr>
      </w:pPr>
    </w:p>
    <w:p>
      <w:pPr>
        <w:spacing w:after="0" w:line="324"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70" w:lineRule="exact"/>
        <w:rPr>
          <w:sz w:val="20"/>
          <w:szCs w:val="20"/>
          <w:color w:val="auto"/>
        </w:rPr>
      </w:pPr>
    </w:p>
    <w:p>
      <w:pPr>
        <w:ind w:left="840"/>
        <w:spacing w:after="0"/>
        <w:rPr>
          <w:sz w:val="20"/>
          <w:szCs w:val="20"/>
          <w:color w:val="auto"/>
        </w:rPr>
      </w:pPr>
      <w:r>
        <w:rPr>
          <w:rFonts w:ascii="Arial" w:cs="Arial" w:eastAsia="Arial" w:hAnsi="Arial"/>
          <w:sz w:val="11"/>
          <w:szCs w:val="11"/>
          <w:color w:val="221E1F"/>
        </w:rPr>
        <w:t>•</w:t>
      </w:r>
    </w:p>
    <w:p>
      <w:pPr>
        <w:spacing w:after="0" w:line="20" w:lineRule="exact"/>
        <w:rPr>
          <w:sz w:val="20"/>
          <w:szCs w:val="20"/>
          <w:color w:val="auto"/>
        </w:rPr>
      </w:pPr>
      <w:r>
        <w:rPr>
          <w:sz w:val="20"/>
          <w:szCs w:val="20"/>
          <w:color w:val="auto"/>
        </w:rPr>
        <w:br w:type="column"/>
      </w:r>
    </w:p>
    <w:p>
      <w:pPr>
        <w:spacing w:after="0" w:line="23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三种文化的对商业模式到日常经营的影响</w:t>
      </w:r>
    </w:p>
    <w:p>
      <w:pPr>
        <w:spacing w:after="0" w:line="106"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文化误解和冲突中成为润滑剂和团队领导者</w:t>
      </w:r>
    </w:p>
    <w:p>
      <w:pPr>
        <w:spacing w:after="0" w:line="111"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领导力的全新挑战</w:t>
      </w:r>
      <w:r>
        <w:rPr>
          <w:rFonts w:ascii="Century Gothic" w:cs="Century Gothic" w:eastAsia="Century Gothic" w:hAnsi="Century Gothic"/>
          <w:sz w:val="22"/>
          <w:szCs w:val="22"/>
          <w:color w:val="221E1F"/>
        </w:rPr>
        <w:t xml:space="preserve"> -</w:t>
      </w:r>
      <w:r>
        <w:rPr>
          <w:rFonts w:ascii="Microsoft YaHei" w:cs="Microsoft YaHei" w:eastAsia="Microsoft YaHei" w:hAnsi="Microsoft YaHei"/>
          <w:sz w:val="22"/>
          <w:szCs w:val="22"/>
          <w:color w:val="221E1F"/>
        </w:rPr>
        <w:t>成为有效的国际化管理者</w:t>
      </w:r>
    </w:p>
    <w:p>
      <w:pPr>
        <w:spacing w:after="0" w:line="100"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color w:val="221E1F"/>
        </w:rPr>
        <w:t>如何培养自己的人文素养及影响力？</w:t>
      </w:r>
    </w:p>
    <w:p>
      <w:pPr>
        <w:spacing w:after="0" w:line="106" w:lineRule="exact"/>
        <w:rPr>
          <w:sz w:val="20"/>
          <w:szCs w:val="20"/>
          <w:color w:val="auto"/>
        </w:rPr>
      </w:pPr>
    </w:p>
    <w:p>
      <w:pPr>
        <w:jc w:val="both"/>
        <w:ind w:right="640"/>
        <w:spacing w:after="0" w:line="363" w:lineRule="exact"/>
        <w:rPr>
          <w:sz w:val="20"/>
          <w:szCs w:val="20"/>
          <w:color w:val="auto"/>
        </w:rPr>
      </w:pPr>
      <w:r>
        <w:rPr>
          <w:rFonts w:ascii="Microsoft YaHei" w:cs="Microsoft YaHei" w:eastAsia="Microsoft YaHei" w:hAnsi="Microsoft YaHei"/>
          <w:sz w:val="22"/>
          <w:szCs w:val="22"/>
          <w:color w:val="221E1F"/>
        </w:rPr>
        <w:t>案例分享：讲师个人作为跨国企业的并购总监</w:t>
      </w:r>
      <w:r>
        <w:rPr>
          <w:rFonts w:ascii="Century Gothic" w:cs="Century Gothic" w:eastAsia="Century Gothic" w:hAnsi="Century Gothic"/>
          <w:sz w:val="22"/>
          <w:szCs w:val="22"/>
          <w:color w:val="221E1F"/>
        </w:rPr>
        <w:t>/</w:t>
      </w:r>
      <w:r>
        <w:rPr>
          <w:rFonts w:ascii="Microsoft YaHei" w:cs="Microsoft YaHei" w:eastAsia="Microsoft YaHei" w:hAnsi="Microsoft YaHei"/>
          <w:sz w:val="22"/>
          <w:szCs w:val="22"/>
          <w:color w:val="221E1F"/>
        </w:rPr>
        <w:t>财务负责人、在不同国家工作时所遇到的国际化财务工作中的各种挑战、团队沟通与冲突化解等经历和经验分享、中企海外拓展中的经验教训</w:t>
      </w:r>
      <w:r>
        <w:rPr>
          <w:rFonts w:ascii="Century Gothic" w:cs="Century Gothic" w:eastAsia="Century Gothic" w:hAnsi="Century Gothic"/>
          <w:sz w:val="22"/>
          <w:szCs w:val="22"/>
          <w:color w:val="221E1F"/>
        </w:rPr>
        <w:t xml:space="preserve"> (</w:t>
      </w:r>
      <w:r>
        <w:rPr>
          <w:rFonts w:ascii="Microsoft YaHei" w:cs="Microsoft YaHei" w:eastAsia="Microsoft YaHei" w:hAnsi="Microsoft YaHei"/>
          <w:sz w:val="22"/>
          <w:szCs w:val="22"/>
          <w:color w:val="221E1F"/>
        </w:rPr>
        <w:t>如跨国合资、并购等</w:t>
      </w:r>
      <w:r>
        <w:rPr>
          <w:rFonts w:ascii="Century Gothic" w:cs="Century Gothic" w:eastAsia="Century Gothic" w:hAnsi="Century Gothic"/>
          <w:sz w:val="22"/>
          <w:szCs w:val="22"/>
          <w:color w:val="221E1F"/>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-650240</wp:posOffset>
                </wp:positionH>
                <wp:positionV relativeFrom="paragraph">
                  <wp:posOffset>3609975</wp:posOffset>
                </wp:positionV>
                <wp:extent cx="624459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4590"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1.1999pt,284.25pt" to="440.5pt,284.25pt" o:allowincell="f" strokecolor="#08788C" strokeweight="0.96pt"/>
            </w:pict>
          </mc:Fallback>
        </mc:AlternateContent>
      </w:r>
    </w:p>
    <w:p>
      <w:pPr>
        <w:spacing w:after="0" w:line="200" w:lineRule="exact"/>
        <w:rPr>
          <w:sz w:val="20"/>
          <w:szCs w:val="20"/>
          <w:color w:val="auto"/>
        </w:rPr>
      </w:pPr>
    </w:p>
    <w:p>
      <w:pPr>
        <w:sectPr>
          <w:pgSz w:w="10800" w:h="15600" w:orient="portrait"/>
          <w:cols w:equalWidth="0" w:num="2">
            <w:col w:w="880" w:space="220"/>
            <w:col w:w="8800"/>
          </w:cols>
          <w:pgMar w:left="400" w:top="710"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line="229" w:lineRule="exact"/>
        <w:tabs>
          <w:tab w:leader="none" w:pos="8080" w:val="left"/>
        </w:tabs>
        <w:rPr>
          <w:sz w:val="20"/>
          <w:szCs w:val="20"/>
          <w:color w:val="auto"/>
        </w:rPr>
      </w:pPr>
      <w:r>
        <w:rPr>
          <w:rFonts w:ascii="Microsoft JhengHei UI Light" w:cs="Microsoft JhengHei UI Light" w:eastAsia="Microsoft JhengHei UI Light" w:hAnsi="Microsoft JhengHei UI Light"/>
          <w:sz w:val="18"/>
          <w:szCs w:val="18"/>
          <w:color w:val="auto"/>
        </w:rPr>
        <w:t>《国际化财务与跨文化团队管理》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03</w:t>
      </w:r>
    </w:p>
    <w:p>
      <w:pPr>
        <w:sectPr>
          <w:pgSz w:w="10800" w:h="15600" w:orient="portrait"/>
          <w:cols w:equalWidth="0" w:num="1">
            <w:col w:w="9900"/>
          </w:cols>
          <w:pgMar w:left="400" w:top="710" w:right="500" w:bottom="0" w:gutter="0" w:footer="0" w:header="0"/>
          <w:type w:val="continuous"/>
        </w:sectPr>
      </w:pPr>
    </w:p>
    <w:bookmarkStart w:id="4" w:name="page5"/>
    <w:bookmarkEnd w:id="4"/>
    <w:p>
      <w:pPr>
        <w:ind w:left="520"/>
        <w:spacing w:after="0" w:line="370" w:lineRule="exact"/>
        <w:rPr>
          <w:sz w:val="20"/>
          <w:szCs w:val="20"/>
          <w:color w:val="auto"/>
        </w:rPr>
      </w:pPr>
      <w:r>
        <w:rPr>
          <w:rFonts w:ascii="Microsoft YaHei" w:cs="Microsoft YaHei" w:eastAsia="Microsoft YaHei" w:hAnsi="Microsoft YaHei"/>
          <w:sz w:val="28"/>
          <w:szCs w:val="28"/>
          <w:color w:val="FFFFFF"/>
        </w:rPr>
        <w:t>击</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-253365</wp:posOffset>
            </wp:positionH>
            <wp:positionV relativeFrom="paragraph">
              <wp:posOffset>-107950</wp:posOffset>
            </wp:positionV>
            <wp:extent cx="6858000" cy="26562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extLst>
                    </a:blip>
                    <a:srcRect/>
                    <a:stretch>
                      <a:fillRect/>
                    </a:stretch>
                  </pic:blipFill>
                  <pic:spPr bwMode="auto">
                    <a:xfrm>
                      <a:off x="0" y="0"/>
                      <a:ext cx="6858000" cy="2656205"/>
                    </a:xfrm>
                    <a:prstGeom prst="rect">
                      <a:avLst/>
                    </a:prstGeom>
                    <a:noFill/>
                  </pic:spPr>
                </pic:pic>
              </a:graphicData>
            </a:graphic>
          </wp:anchor>
        </w:drawing>
      </w:r>
    </w:p>
    <w:p>
      <w:pPr>
        <w:ind w:left="520"/>
        <w:spacing w:after="0" w:line="342" w:lineRule="exact"/>
        <w:rPr>
          <w:sz w:val="20"/>
          <w:szCs w:val="20"/>
          <w:color w:val="auto"/>
        </w:rPr>
      </w:pPr>
      <w:r>
        <w:rPr>
          <w:rFonts w:ascii="Microsoft YaHei" w:cs="Microsoft YaHei" w:eastAsia="Microsoft YaHei" w:hAnsi="Microsoft YaHei"/>
          <w:sz w:val="28"/>
          <w:szCs w:val="28"/>
          <w:color w:val="FFFFFF"/>
        </w:rPr>
        <w:t>直</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tbl>
      <w:tblPr>
        <w:tblLayout w:type="fixed"/>
        <w:tblInd w:w="631" w:type="dxa"/>
        <w:tblCellMar>
          <w:top w:w="0" w:type="dxa"/>
          <w:left w:w="0" w:type="dxa"/>
          <w:bottom w:w="0" w:type="dxa"/>
          <w:right w:w="0" w:type="dxa"/>
        </w:tblCellMar>
      </w:tblPr>
      <w:tr>
        <w:trPr>
          <w:trHeight w:val="1080"/>
        </w:trPr>
        <w:tc>
          <w:tcPr>
            <w:tcW w:w="293" w:type="dxa"/>
            <w:vAlign w:val="bottom"/>
            <w:textDirection w:val="tbRl"/>
          </w:tcPr>
          <w:p>
            <w:pPr>
              <w:spacing w:after="0"/>
              <w:rPr>
                <w:sz w:val="20"/>
                <w:szCs w:val="20"/>
                <w:color w:val="auto"/>
              </w:rPr>
            </w:pPr>
            <w:r>
              <w:rPr>
                <w:rFonts w:ascii="Calibri" w:cs="Calibri" w:eastAsia="Calibri" w:hAnsi="Calibri"/>
                <w:sz w:val="24"/>
                <w:szCs w:val="24"/>
                <w:color w:val="FFFFFF"/>
              </w:rPr>
              <w:t>THE SCENE</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460"/>
        <w:spacing w:after="0" w:line="356" w:lineRule="exact"/>
        <w:tabs>
          <w:tab w:leader="none" w:pos="2620" w:val="left"/>
        </w:tabs>
        <w:rPr>
          <w:sz w:val="20"/>
          <w:szCs w:val="20"/>
          <w:color w:val="auto"/>
        </w:rPr>
      </w:pPr>
      <w:r>
        <w:rPr>
          <w:rFonts w:ascii="SimSun" w:cs="SimSun" w:eastAsia="SimSun" w:hAnsi="SimSun"/>
          <w:sz w:val="28"/>
          <w:szCs w:val="28"/>
          <w:color w:val="08788C"/>
        </w:rPr>
        <w:t>国际合作及荣誉</w:t>
      </w:r>
      <w:r>
        <w:rPr>
          <w:sz w:val="20"/>
          <w:szCs w:val="20"/>
          <w:color w:val="auto"/>
        </w:rPr>
        <w:tab/>
      </w:r>
      <w:r>
        <w:rPr>
          <w:rFonts w:ascii="Calibri" w:cs="Calibri" w:eastAsia="Calibri" w:hAnsi="Calibri"/>
          <w:sz w:val="23"/>
          <w:szCs w:val="23"/>
          <w:color w:val="A6A6A6"/>
        </w:rPr>
        <w:t>WIDESPREAD PRAISE</w:t>
      </w:r>
    </w:p>
    <w:p>
      <w:pPr>
        <w:sectPr>
          <w:pgSz w:w="10800" w:h="15600" w:orient="portrait"/>
          <w:cols w:equalWidth="0" w:num="1">
            <w:col w:w="9900"/>
          </w:cols>
          <w:pgMar w:left="400" w:top="1008" w:right="50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480"/>
        <w:spacing w:after="0" w:line="291" w:lineRule="exact"/>
        <w:rPr>
          <w:sz w:val="20"/>
          <w:szCs w:val="20"/>
          <w:color w:val="auto"/>
        </w:rPr>
      </w:pPr>
      <w:r>
        <w:rPr>
          <w:rFonts w:ascii="Microsoft YaHei" w:cs="Microsoft YaHei" w:eastAsia="Microsoft YaHei" w:hAnsi="Microsoft YaHei"/>
          <w:sz w:val="22"/>
          <w:szCs w:val="22"/>
          <w:b w:val="1"/>
          <w:bCs w:val="1"/>
          <w:color w:val="404040"/>
        </w:rPr>
        <w:t>课程获得权威认可</w:t>
      </w:r>
    </w:p>
    <w:p>
      <w:pPr>
        <w:spacing w:after="0" w:line="104" w:lineRule="exact"/>
        <w:rPr>
          <w:sz w:val="20"/>
          <w:szCs w:val="20"/>
          <w:color w:val="auto"/>
        </w:rPr>
      </w:pPr>
    </w:p>
    <w:p>
      <w:pPr>
        <w:ind w:left="480"/>
        <w:spacing w:after="0" w:line="275" w:lineRule="exact"/>
        <w:rPr>
          <w:sz w:val="20"/>
          <w:szCs w:val="20"/>
          <w:color w:val="auto"/>
        </w:rPr>
      </w:pPr>
      <w:r>
        <w:rPr>
          <w:rFonts w:ascii="Microsoft JhengHei UI Light" w:cs="Microsoft JhengHei UI Light" w:eastAsia="Microsoft JhengHei UI Light" w:hAnsi="Microsoft JhengHei UI Light"/>
          <w:sz w:val="17"/>
          <w:szCs w:val="17"/>
          <w:b w:val="1"/>
          <w:bCs w:val="1"/>
          <w:color w:val="7F7F7F"/>
        </w:rPr>
        <w:t>两度荣膺中国企业培训 “百佳精品课程” 奖两度荣膺中国企业培训 “最佳品牌课程” 奖</w:t>
      </w:r>
    </w:p>
    <w:p>
      <w:pPr>
        <w:spacing w:after="0" w:line="100" w:lineRule="exact"/>
        <w:rPr>
          <w:sz w:val="20"/>
          <w:szCs w:val="20"/>
          <w:color w:val="auto"/>
        </w:rPr>
      </w:pPr>
    </w:p>
    <w:p>
      <w:pPr>
        <w:ind w:left="480"/>
        <w:spacing w:after="0" w:line="291" w:lineRule="exact"/>
        <w:rPr>
          <w:sz w:val="20"/>
          <w:szCs w:val="20"/>
          <w:color w:val="auto"/>
        </w:rPr>
      </w:pPr>
      <w:r>
        <w:rPr>
          <w:rFonts w:ascii="Microsoft YaHei" w:cs="Microsoft YaHei" w:eastAsia="Microsoft YaHei" w:hAnsi="Microsoft YaHei"/>
          <w:sz w:val="22"/>
          <w:szCs w:val="22"/>
          <w:b w:val="1"/>
          <w:bCs w:val="1"/>
          <w:color w:val="404040"/>
        </w:rPr>
        <w:t>质量获得国际认可</w:t>
      </w:r>
    </w:p>
    <w:p>
      <w:pPr>
        <w:spacing w:after="0" w:line="102" w:lineRule="exact"/>
        <w:rPr>
          <w:sz w:val="20"/>
          <w:szCs w:val="20"/>
          <w:color w:val="auto"/>
        </w:rPr>
      </w:pPr>
    </w:p>
    <w:p>
      <w:pPr>
        <w:ind w:left="480"/>
        <w:spacing w:after="0" w:line="229" w:lineRule="exact"/>
        <w:rPr>
          <w:sz w:val="20"/>
          <w:szCs w:val="20"/>
          <w:color w:val="auto"/>
        </w:rPr>
      </w:pPr>
      <w:r>
        <w:rPr>
          <w:rFonts w:ascii="Microsoft JhengHei UI Light" w:cs="Microsoft JhengHei UI Light" w:eastAsia="Microsoft JhengHei UI Light" w:hAnsi="Microsoft JhengHei UI Light"/>
          <w:sz w:val="18"/>
          <w:szCs w:val="18"/>
          <w:color w:val="7F7F7F"/>
        </w:rPr>
        <w:t>ACCA在华首家CPD合作机构</w:t>
      </w:r>
    </w:p>
    <w:p>
      <w:pPr>
        <w:spacing w:after="0" w:line="95" w:lineRule="exact"/>
        <w:rPr>
          <w:sz w:val="20"/>
          <w:szCs w:val="20"/>
          <w:color w:val="auto"/>
        </w:rPr>
      </w:pPr>
    </w:p>
    <w:p>
      <w:pPr>
        <w:ind w:left="580" w:hanging="104"/>
        <w:spacing w:after="0" w:line="229" w:lineRule="exact"/>
        <w:tabs>
          <w:tab w:leader="none" w:pos="580" w:val="left"/>
        </w:tabs>
        <w:numPr>
          <w:ilvl w:val="0"/>
          <w:numId w:val="2"/>
        </w:numPr>
        <w:rPr>
          <w:rFonts w:ascii="Microsoft JhengHei UI Light" w:cs="Microsoft JhengHei UI Light" w:eastAsia="Microsoft JhengHei UI Light" w:hAnsi="Microsoft JhengHei UI Light"/>
          <w:sz w:val="18"/>
          <w:szCs w:val="18"/>
          <w:b w:val="1"/>
          <w:bCs w:val="1"/>
          <w:color w:val="7F7F7F"/>
        </w:rPr>
      </w:pPr>
      <w:r>
        <w:rPr>
          <w:rFonts w:ascii="Microsoft JhengHei UI Light" w:cs="Microsoft JhengHei UI Light" w:eastAsia="Microsoft JhengHei UI Light" w:hAnsi="Microsoft JhengHei UI Light"/>
          <w:sz w:val="18"/>
          <w:szCs w:val="18"/>
          <w:b w:val="1"/>
          <w:bCs w:val="1"/>
          <w:color w:val="7F7F7F"/>
        </w:rPr>
        <w:t>M A在华首家CPE合作机构</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311150</wp:posOffset>
            </wp:positionH>
            <wp:positionV relativeFrom="paragraph">
              <wp:posOffset>314325</wp:posOffset>
            </wp:positionV>
            <wp:extent cx="1622425" cy="4387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extLst>
                    </a:blip>
                    <a:srcRect/>
                    <a:stretch>
                      <a:fillRect/>
                    </a:stretch>
                  </pic:blipFill>
                  <pic:spPr bwMode="auto">
                    <a:xfrm>
                      <a:off x="0" y="0"/>
                      <a:ext cx="1622425" cy="43878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spacing w:after="0" w:line="291" w:lineRule="exact"/>
        <w:rPr>
          <w:sz w:val="20"/>
          <w:szCs w:val="20"/>
          <w:color w:val="auto"/>
        </w:rPr>
      </w:pPr>
      <w:r>
        <w:rPr>
          <w:rFonts w:ascii="Microsoft YaHei" w:cs="Microsoft YaHei" w:eastAsia="Microsoft YaHei" w:hAnsi="Microsoft YaHei"/>
          <w:sz w:val="22"/>
          <w:szCs w:val="22"/>
          <w:b w:val="1"/>
          <w:bCs w:val="1"/>
          <w:color w:val="404040"/>
        </w:rPr>
        <w:t>服务受到广泛赞誉</w:t>
      </w:r>
    </w:p>
    <w:p>
      <w:pPr>
        <w:spacing w:after="0" w:line="104" w:lineRule="exact"/>
        <w:rPr>
          <w:sz w:val="20"/>
          <w:szCs w:val="20"/>
          <w:color w:val="auto"/>
        </w:rPr>
      </w:pPr>
    </w:p>
    <w:p>
      <w:pPr>
        <w:jc w:val="both"/>
        <w:ind w:right="740"/>
        <w:spacing w:after="0" w:line="291" w:lineRule="exact"/>
        <w:rPr>
          <w:sz w:val="20"/>
          <w:szCs w:val="20"/>
          <w:color w:val="auto"/>
        </w:rPr>
      </w:pPr>
      <w:r>
        <w:rPr>
          <w:rFonts w:ascii="Microsoft JhengHei UI Light" w:cs="Microsoft JhengHei UI Light" w:eastAsia="Microsoft JhengHei UI Light" w:hAnsi="Microsoft JhengHei UI Light"/>
          <w:sz w:val="18"/>
          <w:szCs w:val="18"/>
          <w:b w:val="1"/>
          <w:bCs w:val="1"/>
          <w:color w:val="7F7F7F"/>
        </w:rPr>
        <w:t>两度荣获《培训》杂志“中国企业培训行业标杆品牌奖”荣获中国人才（China STAFF）“年度最佳培训公司”奖获赞“中国CFO最信赖的财务培训服务机构”</w:t>
      </w:r>
    </w:p>
    <w:p>
      <w:pPr>
        <w:spacing w:after="0" w:line="98" w:lineRule="exact"/>
        <w:rPr>
          <w:sz w:val="20"/>
          <w:szCs w:val="20"/>
          <w:color w:val="auto"/>
        </w:rPr>
      </w:pPr>
    </w:p>
    <w:p>
      <w:pPr>
        <w:spacing w:after="0" w:line="229" w:lineRule="exact"/>
        <w:rPr>
          <w:sz w:val="20"/>
          <w:szCs w:val="20"/>
          <w:color w:val="auto"/>
        </w:rPr>
      </w:pPr>
      <w:r>
        <w:rPr>
          <w:rFonts w:ascii="Microsoft JhengHei UI Light" w:cs="Microsoft JhengHei UI Light" w:eastAsia="Microsoft JhengHei UI Light" w:hAnsi="Microsoft JhengHei UI Light"/>
          <w:sz w:val="18"/>
          <w:szCs w:val="18"/>
          <w:color w:val="7F7F7F"/>
        </w:rPr>
        <w:t>独家荣获《新理财杂志》“CFO金牌培训合作伙伴”奖</w:t>
      </w:r>
    </w:p>
    <w:p>
      <w:pPr>
        <w:spacing w:after="0" w:line="98" w:lineRule="exact"/>
        <w:rPr>
          <w:sz w:val="20"/>
          <w:szCs w:val="20"/>
          <w:color w:val="auto"/>
        </w:rPr>
      </w:pPr>
    </w:p>
    <w:p>
      <w:pPr>
        <w:ind w:right="340"/>
        <w:spacing w:after="0" w:line="275" w:lineRule="exact"/>
        <w:rPr>
          <w:sz w:val="20"/>
          <w:szCs w:val="20"/>
          <w:color w:val="auto"/>
        </w:rPr>
      </w:pPr>
      <w:r>
        <w:rPr>
          <w:rFonts w:ascii="Microsoft JhengHei UI Light" w:cs="Microsoft JhengHei UI Light" w:eastAsia="Microsoft JhengHei UI Light" w:hAnsi="Microsoft JhengHei UI Light"/>
          <w:sz w:val="18"/>
          <w:szCs w:val="18"/>
          <w:b w:val="1"/>
          <w:bCs w:val="1"/>
          <w:color w:val="7F7F7F"/>
        </w:rPr>
        <w:t>安越总经理马爽先生荣获中欧商学院“20年20人杰出校友奖”中欧国际工商学院获奖案例</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-2782570</wp:posOffset>
                </wp:positionH>
                <wp:positionV relativeFrom="paragraph">
                  <wp:posOffset>960120</wp:posOffset>
                </wp:positionV>
                <wp:extent cx="598106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19812">
                          <a:solidFill>
                            <a:srgbClr val="08788C"/>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0999pt,75.6pt" to="251.85pt,75.6pt" o:allowincell="f" strokecolor="#08788C" strokeweight="1.56pt"/>
            </w:pict>
          </mc:Fallback>
        </mc:AlternateContent>
        <w:drawing>
          <wp:anchor simplePos="0" relativeHeight="251657728" behindDoc="1" locked="0" layoutInCell="0" allowOverlap="1">
            <wp:simplePos x="0" y="0"/>
            <wp:positionH relativeFrom="column">
              <wp:posOffset>3810</wp:posOffset>
            </wp:positionH>
            <wp:positionV relativeFrom="paragraph">
              <wp:posOffset>184785</wp:posOffset>
            </wp:positionV>
            <wp:extent cx="2811780" cy="513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extLst>
                    </a:blip>
                    <a:srcRect/>
                    <a:stretch>
                      <a:fillRect/>
                    </a:stretch>
                  </pic:blipFill>
                  <pic:spPr bwMode="auto">
                    <a:xfrm>
                      <a:off x="0" y="0"/>
                      <a:ext cx="2811780" cy="513080"/>
                    </a:xfrm>
                    <a:prstGeom prst="rect">
                      <a:avLst/>
                    </a:prstGeom>
                    <a:noFill/>
                  </pic:spPr>
                </pic:pic>
              </a:graphicData>
            </a:graphic>
          </wp:anchor>
        </w:drawing>
      </w:r>
    </w:p>
    <w:p>
      <w:pPr>
        <w:spacing w:after="0" w:line="200" w:lineRule="exact"/>
        <w:rPr>
          <w:sz w:val="20"/>
          <w:szCs w:val="20"/>
          <w:color w:val="auto"/>
        </w:rPr>
      </w:pPr>
    </w:p>
    <w:p>
      <w:pPr>
        <w:sectPr>
          <w:pgSz w:w="10800" w:h="15600" w:orient="portrait"/>
          <w:cols w:equalWidth="0" w:num="2">
            <w:col w:w="4000" w:space="660"/>
            <w:col w:w="5240"/>
          </w:cols>
          <w:pgMar w:left="400" w:top="1008"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40"/>
        <w:spacing w:after="0" w:line="356" w:lineRule="exact"/>
        <w:tabs>
          <w:tab w:leader="none" w:pos="1760" w:val="left"/>
        </w:tabs>
        <w:rPr>
          <w:sz w:val="20"/>
          <w:szCs w:val="20"/>
          <w:color w:val="auto"/>
        </w:rPr>
      </w:pPr>
      <w:r>
        <w:rPr>
          <w:rFonts w:ascii="SimSun" w:cs="SimSun" w:eastAsia="SimSun" w:hAnsi="SimSun"/>
          <w:sz w:val="28"/>
          <w:szCs w:val="28"/>
          <w:color w:val="08788C"/>
        </w:rPr>
        <w:t>联系我们</w:t>
      </w:r>
      <w:r>
        <w:rPr>
          <w:sz w:val="20"/>
          <w:szCs w:val="20"/>
          <w:color w:val="auto"/>
        </w:rPr>
        <w:tab/>
      </w:r>
      <w:r>
        <w:rPr>
          <w:rFonts w:ascii="Calibri" w:cs="Calibri" w:eastAsia="Calibri" w:hAnsi="Calibri"/>
          <w:sz w:val="23"/>
          <w:szCs w:val="23"/>
          <w:color w:val="A6A6A6"/>
        </w:rPr>
        <w:t>CONTACT US</w:t>
      </w:r>
    </w:p>
    <w:p>
      <w:pPr>
        <w:spacing w:after="0" w:line="264" w:lineRule="exact"/>
        <w:rPr>
          <w:sz w:val="20"/>
          <w:szCs w:val="20"/>
          <w:color w:val="auto"/>
        </w:rPr>
      </w:pPr>
    </w:p>
    <w:p>
      <w:pPr>
        <w:ind w:left="440"/>
        <w:spacing w:after="0" w:line="229" w:lineRule="exact"/>
        <w:rPr>
          <w:sz w:val="20"/>
          <w:szCs w:val="20"/>
          <w:color w:val="auto"/>
        </w:rPr>
      </w:pPr>
      <w:r>
        <w:rPr>
          <w:rFonts w:ascii="SimSun" w:cs="SimSun" w:eastAsia="SimSun" w:hAnsi="SimSun"/>
          <w:sz w:val="20"/>
          <w:szCs w:val="20"/>
          <w:color w:val="404040"/>
        </w:rPr>
        <w:t>上海安越企业管理咨询有限公司</w:t>
      </w:r>
    </w:p>
    <w:p>
      <w:pPr>
        <w:spacing w:after="0" w:line="215"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EASYFINANCE MANAGEMENT CONSULTING CO.,LTD</w:t>
      </w:r>
    </w:p>
    <w:p>
      <w:pPr>
        <w:spacing w:after="0" w:line="45" w:lineRule="exact"/>
        <w:rPr>
          <w:sz w:val="20"/>
          <w:szCs w:val="20"/>
          <w:color w:val="auto"/>
        </w:rPr>
      </w:pPr>
    </w:p>
    <w:p>
      <w:pPr>
        <w:jc w:val="center"/>
        <w:ind w:right="6540"/>
        <w:spacing w:after="0"/>
        <w:rPr>
          <w:sz w:val="20"/>
          <w:szCs w:val="20"/>
          <w:color w:val="auto"/>
        </w:rPr>
      </w:pPr>
      <w:r>
        <w:rPr>
          <w:rFonts w:ascii="Calibri" w:cs="Calibri" w:eastAsia="Calibri" w:hAnsi="Calibri"/>
          <w:sz w:val="23"/>
          <w:szCs w:val="23"/>
          <w:color w:val="595959"/>
        </w:rPr>
        <w:t>www.easyfinance.com.cn</w:t>
      </w:r>
    </w:p>
    <w:p>
      <w:pPr>
        <w:spacing w:after="0" w:line="65" w:lineRule="exact"/>
        <w:rPr>
          <w:sz w:val="20"/>
          <w:szCs w:val="20"/>
          <w:color w:val="auto"/>
        </w:rPr>
      </w:pPr>
    </w:p>
    <w:p>
      <w:pPr>
        <w:jc w:val="center"/>
        <w:ind w:right="6480"/>
        <w:spacing w:after="0"/>
        <w:rPr>
          <w:sz w:val="20"/>
          <w:szCs w:val="20"/>
          <w:color w:val="auto"/>
        </w:rPr>
      </w:pPr>
      <w:r>
        <w:rPr>
          <w:rFonts w:ascii="Calibri" w:cs="Calibri" w:eastAsia="Calibri" w:hAnsi="Calibri"/>
          <w:sz w:val="24"/>
          <w:szCs w:val="24"/>
          <w:color w:val="595959"/>
        </w:rPr>
        <w:t xml:space="preserve">Tel: </w:t>
      </w:r>
      <w:r>
        <w:rPr>
          <w:rFonts w:ascii="Calibri" w:cs="Calibri" w:eastAsia="Calibri" w:hAnsi="Calibri"/>
          <w:sz w:val="24"/>
          <w:szCs w:val="24"/>
          <w:color w:val="08788C"/>
        </w:rPr>
        <w:t>+86 21 58362000-810</w:t>
      </w:r>
    </w:p>
    <w:p>
      <w:pPr>
        <w:spacing w:after="0" w:line="53" w:lineRule="exact"/>
        <w:rPr>
          <w:sz w:val="20"/>
          <w:szCs w:val="20"/>
          <w:color w:val="auto"/>
        </w:rPr>
      </w:pPr>
    </w:p>
    <w:p>
      <w:pPr>
        <w:jc w:val="center"/>
        <w:ind w:right="6460"/>
        <w:spacing w:after="0"/>
        <w:rPr>
          <w:sz w:val="20"/>
          <w:szCs w:val="20"/>
          <w:color w:val="auto"/>
        </w:rPr>
      </w:pPr>
      <w:r>
        <w:rPr>
          <w:rFonts w:ascii="Calibri" w:cs="Calibri" w:eastAsia="Calibri" w:hAnsi="Calibri"/>
          <w:sz w:val="24"/>
          <w:szCs w:val="24"/>
          <w:color w:val="08788C"/>
        </w:rPr>
        <w:t>+86 15801919100</w:t>
      </w:r>
    </w:p>
    <w:p>
      <w:pPr>
        <w:spacing w:after="0" w:line="51"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Mail: BD@EasyFinance.com.cn</w:t>
      </w:r>
    </w:p>
    <w:p>
      <w:pPr>
        <w:spacing w:after="0" w:line="44" w:lineRule="exact"/>
        <w:rPr>
          <w:sz w:val="20"/>
          <w:szCs w:val="20"/>
          <w:color w:val="auto"/>
        </w:rPr>
      </w:pPr>
    </w:p>
    <w:p>
      <w:pPr>
        <w:ind w:left="440"/>
        <w:spacing w:after="0" w:line="245" w:lineRule="exact"/>
        <w:rPr>
          <w:sz w:val="20"/>
          <w:szCs w:val="20"/>
          <w:color w:val="auto"/>
        </w:rPr>
      </w:pPr>
      <w:r>
        <w:rPr>
          <w:rFonts w:ascii="Calibri" w:cs="Calibri" w:eastAsia="Calibri" w:hAnsi="Calibri"/>
          <w:sz w:val="20"/>
          <w:szCs w:val="20"/>
          <w:color w:val="595959"/>
        </w:rPr>
        <w:t>Add:</w:t>
      </w:r>
      <w:r>
        <w:rPr>
          <w:rFonts w:ascii="Microsoft JhengHei UI Light" w:cs="Microsoft JhengHei UI Light" w:eastAsia="Microsoft JhengHei UI Light" w:hAnsi="Microsoft JhengHei UI Light"/>
          <w:sz w:val="18"/>
          <w:szCs w:val="18"/>
          <w:color w:val="595959"/>
        </w:rPr>
        <w:t>上海市浦东新区张杨路707号生命人寿大厦1208室</w:t>
      </w:r>
    </w:p>
    <w:p>
      <w:pPr>
        <w:spacing w:after="0" w:line="44"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200120, Rm 1208, Sinolife Tower No. 707 Zhangyang Rd.</w:t>
      </w:r>
    </w:p>
    <w:p>
      <w:pPr>
        <w:spacing w:after="0" w:line="44" w:lineRule="exact"/>
        <w:rPr>
          <w:sz w:val="20"/>
          <w:szCs w:val="20"/>
          <w:color w:val="auto"/>
        </w:rPr>
      </w:pPr>
    </w:p>
    <w:p>
      <w:pPr>
        <w:ind w:left="440"/>
        <w:spacing w:after="0"/>
        <w:rPr>
          <w:sz w:val="20"/>
          <w:szCs w:val="20"/>
          <w:color w:val="auto"/>
        </w:rPr>
      </w:pPr>
      <w:r>
        <w:rPr>
          <w:rFonts w:ascii="Calibri" w:cs="Calibri" w:eastAsia="Calibri" w:hAnsi="Calibri"/>
          <w:sz w:val="20"/>
          <w:szCs w:val="20"/>
          <w:color w:val="595959"/>
        </w:rPr>
        <w:t>Pudong, Shanghai China</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47625</wp:posOffset>
                </wp:positionH>
                <wp:positionV relativeFrom="paragraph">
                  <wp:posOffset>427355</wp:posOffset>
                </wp:positionV>
                <wp:extent cx="624522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245225" cy="4763"/>
                        </a:xfrm>
                        <a:prstGeom prst="line">
                          <a:avLst/>
                        </a:prstGeom>
                        <a:solidFill>
                          <a:srgbClr val="FFFFFF"/>
                        </a:solidFill>
                        <a:ln w="12192">
                          <a:solidFill>
                            <a:srgbClr val="08788C"/>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5pt,33.65pt" to="495.5pt,33.65pt" o:allowincell="f" strokecolor="#08788C" strokeweight="0.96pt"/>
            </w:pict>
          </mc:Fallback>
        </mc:AlternateContent>
      </w:r>
    </w:p>
    <w:p>
      <w:pPr>
        <w:sectPr>
          <w:pgSz w:w="10800" w:h="15600" w:orient="portrait"/>
          <w:cols w:equalWidth="0" w:num="1">
            <w:col w:w="9900"/>
          </w:cols>
          <w:pgMar w:left="400" w:top="1008" w:right="500" w:bottom="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229" w:lineRule="exact"/>
        <w:tabs>
          <w:tab w:leader="none" w:pos="8080" w:val="left"/>
        </w:tabs>
        <w:rPr>
          <w:sz w:val="20"/>
          <w:szCs w:val="20"/>
          <w:color w:val="auto"/>
        </w:rPr>
      </w:pPr>
      <w:r>
        <w:rPr>
          <w:rFonts w:ascii="Microsoft JhengHei UI Light" w:cs="Microsoft JhengHei UI Light" w:eastAsia="Microsoft JhengHei UI Light" w:hAnsi="Microsoft JhengHei UI Light"/>
          <w:sz w:val="18"/>
          <w:szCs w:val="18"/>
          <w:color w:val="auto"/>
        </w:rPr>
        <w:t>《国际化财务与跨文化团队管理》</w:t>
      </w:r>
      <w:r>
        <w:rPr>
          <w:sz w:val="20"/>
          <w:szCs w:val="20"/>
          <w:color w:val="auto"/>
        </w:rPr>
        <w:tab/>
      </w:r>
      <w:r>
        <w:rPr>
          <w:rFonts w:ascii="Microsoft JhengHei UI Light" w:cs="Microsoft JhengHei UI Light" w:eastAsia="Microsoft JhengHei UI Light" w:hAnsi="Microsoft JhengHei UI Light"/>
          <w:sz w:val="18"/>
          <w:szCs w:val="18"/>
          <w:color w:val="auto"/>
        </w:rPr>
        <w:t>选择安越因为专业 04</w:t>
      </w:r>
    </w:p>
    <w:sectPr>
      <w:pgSz w:w="10800" w:h="15600" w:orient="portrait"/>
      <w:cols w:equalWidth="0" w:num="1">
        <w:col w:w="9900"/>
      </w:cols>
      <w:pgMar w:left="400" w:top="1008" w:right="50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SimSun">
    <w:panose1 w:val="02010600030101010101"/>
    <w:charset w:val="86"/>
    <w:family w:val="auto"/>
    <w:pitch w:val="variable"/>
    <w:sig w:usb0="00000003" w:usb1="288F0000" w:usb2="00000006" w:usb3="00000000" w:csb0="00040001" w:csb1="00000000"/>
  </w:font>
  <w:font w:name="Century Gothic">
    <w:panose1 w:val="020B0502020202020204"/>
    <w:charset w:val="00"/>
    <w:family w:val="roman"/>
    <w:pitch w:val="variable"/>
    <w:sig w:usb0="00000287" w:usb1="00000000" w:usb2="00000000" w:usb3="00000000" w:csb0="2000009F" w:csb1="DFD70000"/>
  </w:font>
  <w:font w:name="Microsoft JhengHei UI Light">
    <w:panose1 w:val="020B0304030504040204"/>
    <w:charset w:val="88"/>
    <w:family w:val="swiss"/>
    <w:pitch w:val="variable"/>
    <w:sig w:usb0="800002A7" w:usb1="28CF4400" w:usb2="00000016" w:usb3="00000000" w:csb0="00100009" w:csb1="00000000"/>
  </w:font>
  <w:font w:name="Wingdings">
    <w:panose1 w:val="05000000000000000000"/>
    <w:charset w:val="02"/>
    <w:family w:val="auto"/>
    <w:pitch w:val="variable"/>
    <w:sig w:usb0="00000000" w:usb1="00000000" w:usb2="00000000" w:usb3="00000000" w:csb0="80000000"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upperLetter"/>
      <w:start w:val="9"/>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2021-04-20T03:47:43Z</dcterms:created>
  <dcterms:modified xsi:type="dcterms:W3CDTF">2021-04-20T03:47:43Z</dcterms:modified>
</cp:coreProperties>
</file>