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92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7F7F7F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364490</wp:posOffset>
            </wp:positionH>
            <wp:positionV relativeFrom="page">
              <wp:posOffset>464820</wp:posOffset>
            </wp:positionV>
            <wp:extent cx="120650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464185</wp:posOffset>
                </wp:positionV>
                <wp:extent cx="0" cy="50609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7.6pt,36.55pt" to="507.6pt,76.4pt" o:allowincell="f" strokecolor="#08788C" strokeweight="3.6pt">
                <w10:wrap anchorx="page" anchory="page"/>
              </v:line>
            </w:pict>
          </mc:Fallback>
        </mc:AlternateContent>
        <w:t>深耕欧美管理会计理念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1226185</wp:posOffset>
            </wp:positionH>
            <wp:positionV relativeFrom="paragraph">
              <wp:posOffset>-173355</wp:posOffset>
            </wp:positionV>
            <wp:extent cx="127635" cy="132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668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7F7F7F"/>
        </w:rPr>
        <w:t>聚焦中国企业实践十七年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 w:line="845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64"/>
          <w:szCs w:val="64"/>
          <w:color w:val="08788C"/>
        </w:rPr>
        <w:t>华为财经数字化转型助力企业经营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7F7F7F"/>
        </w:rPr>
        <w:t>Management Improvement through Digital Transformation of Finance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A6A6A6"/>
        </w:rPr>
        <w:t>打造财务</w:t>
      </w:r>
      <w:r>
        <w:rPr>
          <w:rFonts w:ascii="Century Gothic" w:cs="Century Gothic" w:eastAsia="Century Gothic" w:hAnsi="Century Gothic"/>
          <w:sz w:val="24"/>
          <w:szCs w:val="24"/>
          <w:color w:val="A6A6A6"/>
        </w:rPr>
        <w:t>“</w:t>
      </w:r>
      <w:r>
        <w:rPr>
          <w:rFonts w:ascii="Microsoft YaHei" w:cs="Microsoft YaHei" w:eastAsia="Microsoft YaHei" w:hAnsi="Microsoft YaHei"/>
          <w:sz w:val="24"/>
          <w:szCs w:val="24"/>
          <w:color w:val="A6A6A6"/>
        </w:rPr>
        <w:t>靠数字说话</w:t>
      </w:r>
      <w:r>
        <w:rPr>
          <w:rFonts w:ascii="Century Gothic" w:cs="Century Gothic" w:eastAsia="Century Gothic" w:hAnsi="Century Gothic"/>
          <w:sz w:val="24"/>
          <w:szCs w:val="24"/>
          <w:color w:val="A6A6A6"/>
        </w:rPr>
        <w:t>”</w:t>
      </w:r>
      <w:r>
        <w:rPr>
          <w:rFonts w:ascii="Microsoft YaHei" w:cs="Microsoft YaHei" w:eastAsia="Microsoft YaHei" w:hAnsi="Microsoft YaHei"/>
          <w:sz w:val="24"/>
          <w:szCs w:val="24"/>
          <w:color w:val="A6A6A6"/>
        </w:rPr>
        <w:t>的卓越能力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A6A6A6"/>
        </w:rPr>
        <w:t>实现财务与业务数据的打通和积累，实现数字的价值呈现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676275</wp:posOffset>
            </wp:positionV>
            <wp:extent cx="6858000" cy="3735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7060"/>
        <w:spacing w:after="0" w:line="90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" cy="518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8100" cy="435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cs="Microsoft JhengHei UI Light" w:eastAsia="Microsoft JhengHei UI Light" w:hAnsi="Microsoft JhengHei UI Light"/>
          <w:sz w:val="36"/>
          <w:szCs w:val="36"/>
          <w:color w:val="08788C"/>
        </w:rPr>
        <w:t xml:space="preserve"> 精英小班 </w:t>
      </w:r>
      <w:r>
        <w:rPr>
          <w:sz w:val="1"/>
          <w:szCs w:val="1"/>
          <w:color w:val="auto"/>
        </w:rPr>
        <w:drawing>
          <wp:inline distT="0" distB="0" distL="0" distR="0">
            <wp:extent cx="38100" cy="435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518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80"/>
        <w:spacing w:after="0" w:line="41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2"/>
          <w:szCs w:val="32"/>
          <w:color w:val="FFFFFF"/>
        </w:rPr>
        <w:t>安越管理会计学院五大优势：</w:t>
      </w:r>
    </w:p>
    <w:p>
      <w:pPr>
        <w:spacing w:after="0" w:line="395" w:lineRule="exact"/>
        <w:rPr>
          <w:sz w:val="24"/>
          <w:szCs w:val="24"/>
          <w:color w:val="auto"/>
        </w:rPr>
      </w:pPr>
    </w:p>
    <w:tbl>
      <w:tblPr>
        <w:tblLayout w:type="fixed"/>
        <w:tblInd w:w="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3"/>
        </w:trPr>
        <w:tc>
          <w:tcPr>
            <w:tcW w:w="3040" w:type="dxa"/>
            <w:vAlign w:val="bottom"/>
            <w:vMerge w:val="restart"/>
          </w:tcPr>
          <w:p>
            <w:pPr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国内首推管理会计学院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1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聚焦本土最佳实践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ind w:left="16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  <w:w w:val="99"/>
              </w:rPr>
              <w:t>全面实用的管理会计体系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4C1C9"/>
            </w:tcBorders>
            <w:shd w:val="clear" w:color="auto" w:fill="94C1C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4C1C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3040" w:type="dxa"/>
            <w:vAlign w:val="bottom"/>
            <w:vMerge w:val="restart"/>
          </w:tcPr>
          <w:p>
            <w:pPr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精英小班学习社交平台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1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务实的合伙人讲师团队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94C1C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0800" w:h="15600" w:orient="portrait"/>
          <w:cols w:equalWidth="0" w:num="1">
            <w:col w:w="9620"/>
          </w:cols>
          <w:pgMar w:left="580" w:top="761" w:right="600" w:bottom="1440" w:gutter="0" w:footer="0" w:header="0"/>
        </w:sectPr>
      </w:pPr>
    </w:p>
    <w:bookmarkStart w:id="1" w:name="page2"/>
    <w:bookmarkEnd w:id="1"/>
    <w:p>
      <w:pPr>
        <w:jc w:val="right"/>
        <w:ind w:right="6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08788C"/>
        </w:rPr>
        <w:drawing>
          <wp:anchor simplePos="0" relativeHeight="251657728" behindDoc="1" locked="0" layoutInCell="0" allowOverlap="1">
            <wp:simplePos x="0" y="0"/>
            <wp:positionH relativeFrom="page">
              <wp:posOffset>5507990</wp:posOffset>
            </wp:positionH>
            <wp:positionV relativeFrom="page">
              <wp:posOffset>252730</wp:posOffset>
            </wp:positionV>
            <wp:extent cx="944880" cy="10636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课程时间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8600"/>
        <w:spacing w:after="0" w:line="528" w:lineRule="exact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40"/>
          <w:szCs w:val="40"/>
          <w:color w:val="08788C"/>
        </w:rPr>
        <w:t xml:space="preserve">2 </w:t>
      </w:r>
      <w:r>
        <w:rPr>
          <w:rFonts w:ascii="Microsoft YaHei" w:cs="Microsoft YaHei" w:eastAsia="Microsoft YaHei" w:hAnsi="Microsoft YaHei"/>
          <w:sz w:val="40"/>
          <w:szCs w:val="40"/>
          <w:color w:val="08788C"/>
        </w:rPr>
        <w:t>天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80"/>
        <w:spacing w:after="0" w:line="430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2"/>
          <w:szCs w:val="32"/>
          <w:color w:val="08788C"/>
        </w:rPr>
        <w:t>财经数字化</w:t>
      </w:r>
      <w:r>
        <w:rPr>
          <w:rFonts w:ascii="Segoe UI Semilight" w:cs="Segoe UI Semilight" w:eastAsia="Segoe UI Semilight" w:hAnsi="Segoe UI Semilight"/>
          <w:sz w:val="32"/>
          <w:szCs w:val="32"/>
          <w:color w:val="08788C"/>
        </w:rPr>
        <w:t>——</w:t>
      </w:r>
      <w:r>
        <w:rPr>
          <w:rFonts w:ascii="Microsoft YaHei" w:cs="Microsoft YaHei" w:eastAsia="Microsoft YaHei" w:hAnsi="Microsoft YaHei"/>
          <w:sz w:val="32"/>
          <w:szCs w:val="32"/>
          <w:color w:val="08788C"/>
        </w:rPr>
        <w:t>财务转型必修课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480"/>
        <w:spacing w:after="0" w:line="528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40"/>
          <w:szCs w:val="40"/>
          <w:b w:val="1"/>
          <w:bCs w:val="1"/>
          <w:color w:val="08788C"/>
        </w:rPr>
        <w:t>打破固有思维，数智财务赋能企业经营管理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130175</wp:posOffset>
                </wp:positionV>
                <wp:extent cx="56470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E808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75pt,10.25pt" to="468.4pt,10.25pt" o:allowincell="f" strokecolor="#1E8083" strokeweight="3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4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财务是公司所有部门中</w:t>
      </w:r>
      <w:r>
        <w:rPr>
          <w:rFonts w:ascii="Century Gothic" w:cs="Century Gothic" w:eastAsia="Century Gothic" w:hAnsi="Century Gothic"/>
          <w:sz w:val="22"/>
          <w:szCs w:val="22"/>
          <w:color w:val="auto"/>
        </w:rPr>
        <w:t>IT</w:t>
      </w: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最早启用，也是主要靠数字说话的部门。但财务数据与业务数据融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合不佳，难以支撑经营决策。课程通过补能力，建立端到端的流程，把财务流程嵌入到销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售、研发和客户服务等业务主流程中去，通过集成的流程化运作，实现财务和业务数据的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打通和积累，同时实现财经从功能型组织向流程型组织转变。财经流程通过嵌入业务主流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程，在服务业务的过程中实现了数据的价值呈现，如风险管控、增值机会点挖掘。最后，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通过学习华为</w:t>
      </w:r>
      <w:r>
        <w:rPr>
          <w:rFonts w:ascii="Century Gothic" w:cs="Century Gothic" w:eastAsia="Century Gothic" w:hAnsi="Century Gothic"/>
          <w:sz w:val="22"/>
          <w:szCs w:val="22"/>
          <w:color w:val="auto"/>
        </w:rPr>
        <w:t>IFS</w:t>
      </w: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变革实践，掌握企业财务转型变革管理秘籍。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80"/>
        <w:spacing w:after="0" w:line="372" w:lineRule="exact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08788C"/>
        </w:rPr>
        <w:t>课程收益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4B545C"/>
        </w:rPr>
        <w:t>KEY BENEFITS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840" w:hanging="273"/>
        <w:spacing w:after="0" w:line="317" w:lineRule="exact"/>
        <w:tabs>
          <w:tab w:leader="none" w:pos="84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4"/>
          <w:szCs w:val="24"/>
          <w:color w:val="auto"/>
        </w:rPr>
        <w:t>业财数据一体化，从数据中提炼信息价值，支撑业务优化与价值创造</w:t>
      </w:r>
    </w:p>
    <w:p>
      <w:pPr>
        <w:spacing w:after="0" w:line="259" w:lineRule="exact"/>
        <w:rPr>
          <w:rFonts w:ascii="Wingdings" w:cs="Wingdings" w:eastAsia="Wingdings" w:hAnsi="Wingdings"/>
          <w:sz w:val="24"/>
          <w:szCs w:val="24"/>
          <w:b w:val="1"/>
          <w:bCs w:val="1"/>
          <w:color w:val="08788C"/>
        </w:rPr>
      </w:pPr>
    </w:p>
    <w:p>
      <w:pPr>
        <w:ind w:left="840" w:hanging="273"/>
        <w:spacing w:after="0" w:line="317" w:lineRule="exact"/>
        <w:tabs>
          <w:tab w:leader="none" w:pos="84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4"/>
          <w:szCs w:val="24"/>
          <w:color w:val="auto"/>
        </w:rPr>
        <w:t>把握数字化进程中财务如何创造价值，掌握财务转型变革管理秘籍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480"/>
        <w:spacing w:after="0" w:line="372" w:lineRule="exact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08788C"/>
        </w:rPr>
        <w:t>培训对象</w:t>
      </w:r>
      <w:r>
        <w:rPr>
          <w:rFonts w:ascii="Calibri" w:cs="Calibri" w:eastAsia="Calibri" w:hAnsi="Calibri"/>
          <w:sz w:val="22"/>
          <w:szCs w:val="22"/>
          <w:color w:val="4B545C"/>
        </w:rPr>
        <w:tab/>
        <w:t>TARGET AUDIENCE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840" w:hanging="273"/>
        <w:spacing w:after="0" w:line="317" w:lineRule="exact"/>
        <w:tabs>
          <w:tab w:leader="none" w:pos="840" w:val="left"/>
        </w:tabs>
        <w:numPr>
          <w:ilvl w:val="0"/>
          <w:numId w:val="2"/>
        </w:numPr>
        <w:rPr>
          <w:rFonts w:ascii="Wingdings" w:cs="Wingdings" w:eastAsia="Wingdings" w:hAnsi="Wingdings"/>
          <w:sz w:val="24"/>
          <w:szCs w:val="24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4"/>
          <w:szCs w:val="24"/>
          <w:color w:val="auto"/>
        </w:rPr>
        <w:t>财务总监，财务经理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1834515</wp:posOffset>
                </wp:positionV>
                <wp:extent cx="61214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44.45pt" to="482.3pt,144.45pt" o:allowincell="f" strokecolor="#08788C" strokeweight="0.96pt"/>
            </w:pict>
          </mc:Fallback>
        </mc:AlternateContent>
      </w:r>
    </w:p>
    <w:p>
      <w:pPr>
        <w:sectPr>
          <w:pgSz w:w="10800" w:h="15600" w:orient="portrait"/>
          <w:cols w:equalWidth="0" w:num="1">
            <w:col w:w="9520"/>
          </w:cols>
          <w:pgMar w:left="500" w:top="775" w:right="7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《华为财经数字化转型助力企业经营》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01</w:t>
      </w:r>
    </w:p>
    <w:p>
      <w:pPr>
        <w:sectPr>
          <w:pgSz w:w="10800" w:h="15600" w:orient="portrait"/>
          <w:cols w:equalWidth="0" w:num="1">
            <w:col w:w="9520"/>
          </w:cols>
          <w:pgMar w:left="500" w:top="775" w:right="780" w:bottom="0" w:gutter="0" w:footer="0" w:header="0"/>
          <w:type w:val="continuous"/>
        </w:sectPr>
      </w:pPr>
    </w:p>
    <w:bookmarkStart w:id="2" w:name="page3"/>
    <w:bookmarkEnd w:id="2"/>
    <w:p>
      <w:pPr>
        <w:ind w:left="480"/>
        <w:spacing w:after="0" w:line="37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263525</wp:posOffset>
            </wp:positionV>
            <wp:extent cx="6428105" cy="89947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99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课程内容</w:t>
      </w:r>
      <w:r>
        <w:rPr>
          <w:rFonts w:ascii="Calibri" w:cs="Calibri" w:eastAsia="Calibri" w:hAnsi="Calibri"/>
          <w:sz w:val="28"/>
          <w:szCs w:val="28"/>
          <w:color w:val="FFFFFF"/>
        </w:rPr>
        <w:t xml:space="preserve"> / </w:t>
      </w:r>
      <w:r>
        <w:rPr>
          <w:rFonts w:ascii="Calibri" w:cs="Calibri" w:eastAsia="Calibri" w:hAnsi="Calibri"/>
          <w:sz w:val="19"/>
          <w:szCs w:val="19"/>
          <w:color w:val="FFFFFF"/>
        </w:rPr>
        <w:t>COURSE CONTENT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第一模块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6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5"/>
          <w:szCs w:val="35"/>
          <w:b w:val="1"/>
          <w:bCs w:val="1"/>
          <w:color w:val="08788C"/>
        </w:rPr>
        <w:t>企业数字化转型背景及必然性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2"/>
          <w:szCs w:val="22"/>
          <w:color w:val="221E1F"/>
        </w:rPr>
        <w:t>VUCA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时代，不确定性成为企业面临的常态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企业数字化转型是企业应对不确定性的必然选择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企业数字化转型的目标：业务与技术双轮驱动，回归企业本质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企业数字化转型给财务带来的机遇与挑战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财务数字化转型对公司价值：长期有效增长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数字化转型下财经组织和角色能力认知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800" w:space="220"/>
            <w:col w:w="854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第二模块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6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5"/>
          <w:szCs w:val="35"/>
          <w:b w:val="1"/>
          <w:bCs w:val="1"/>
          <w:color w:val="08788C"/>
        </w:rPr>
        <w:t>财务转型，做好财务</w:t>
      </w:r>
      <w:r>
        <w:rPr>
          <w:rFonts w:ascii="MS Reference Sans Serif" w:cs="MS Reference Sans Serif" w:eastAsia="MS Reference Sans Serif" w:hAnsi="MS Reference Sans Serif"/>
          <w:sz w:val="35"/>
          <w:szCs w:val="35"/>
          <w:b w:val="1"/>
          <w:bCs w:val="1"/>
          <w:color w:val="08788C"/>
        </w:rPr>
        <w:t>BP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结构化财务数据：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COA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及四统一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流程化案例：如何将货物高效从广州运到武汉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什么是好的流程？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 xml:space="preserve">-- 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目标导向建设流程，结果导向优化流程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财经流程与业务流程联结与关联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华为财经对流程的认识和管理财经流程架构（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L2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）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会计核算流程与业务流程系统联结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视频案例：华为关账及凭证管理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销售财经流程与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LTC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端到端流程联结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如何避免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“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官僚主义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”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流程：日落法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财经流程内控：在流程中落实管控要求，效率优先，兼顾管控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流程衡量指标：流程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Metrics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指标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264795</wp:posOffset>
                </wp:positionV>
                <wp:extent cx="64077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8pt,20.85pt" to="446.55pt,20.85pt" o:allowincell="f" strokecolor="#08788C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800" w:space="220"/>
            <w:col w:w="854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《华为财经数字化转型助力企业经营》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02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bookmarkStart w:id="3" w:name="page4"/>
    <w:bookmarkEnd w:id="3"/>
    <w:p>
      <w:pPr>
        <w:ind w:left="480"/>
        <w:spacing w:after="0" w:line="37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263525</wp:posOffset>
            </wp:positionV>
            <wp:extent cx="6428105" cy="89947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99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课程内容</w:t>
      </w:r>
      <w:r>
        <w:rPr>
          <w:rFonts w:ascii="Calibri" w:cs="Calibri" w:eastAsia="Calibri" w:hAnsi="Calibri"/>
          <w:sz w:val="28"/>
          <w:szCs w:val="28"/>
          <w:color w:val="FFFFFF"/>
        </w:rPr>
        <w:t xml:space="preserve"> / </w:t>
      </w:r>
      <w:r>
        <w:rPr>
          <w:rFonts w:ascii="Calibri" w:cs="Calibri" w:eastAsia="Calibri" w:hAnsi="Calibri"/>
          <w:sz w:val="19"/>
          <w:szCs w:val="19"/>
          <w:color w:val="FFFFFF"/>
        </w:rPr>
        <w:t>COURSE CONTENT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第三模块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6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5"/>
          <w:szCs w:val="35"/>
          <w:b w:val="1"/>
          <w:bCs w:val="1"/>
          <w:color w:val="08788C"/>
        </w:rPr>
        <w:t>数据增值：数据赋能财经组织的价值创造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</w:sect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财经数据对企业价值：控风险、促增长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财经基线与知识管理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数据促增长案例：软件、维保增长机会点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企业的风险地图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数据控风险案例：事中预警和事前管控型预防成本浪费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最新技术在提升财经分析管理效率上的运用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800" w:space="220"/>
            <w:col w:w="854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第四模块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6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5"/>
          <w:szCs w:val="35"/>
          <w:b w:val="1"/>
          <w:bCs w:val="1"/>
          <w:color w:val="08788C"/>
        </w:rPr>
        <w:t>财务转型，做好财务</w:t>
      </w:r>
      <w:r>
        <w:rPr>
          <w:rFonts w:ascii="MS Reference Sans Serif" w:cs="MS Reference Sans Serif" w:eastAsia="MS Reference Sans Serif" w:hAnsi="MS Reference Sans Serif"/>
          <w:sz w:val="35"/>
          <w:szCs w:val="35"/>
          <w:b w:val="1"/>
          <w:bCs w:val="1"/>
          <w:color w:val="08788C"/>
        </w:rPr>
        <w:t>BP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组织与流程：匹配财经数字化转型的华为财经组织架构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华为财经组织三支柱模型：财务</w:t>
      </w:r>
      <w:r>
        <w:rPr>
          <w:rFonts w:ascii="Century Gothic" w:cs="Century Gothic" w:eastAsia="Century Gothic" w:hAnsi="Century Gothic"/>
          <w:sz w:val="21"/>
          <w:szCs w:val="21"/>
          <w:color w:val="221E1F"/>
        </w:rPr>
        <w:t>BP</w:t>
      </w: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，财务</w:t>
      </w:r>
      <w:r>
        <w:rPr>
          <w:rFonts w:ascii="Century Gothic" w:cs="Century Gothic" w:eastAsia="Century Gothic" w:hAnsi="Century Gothic"/>
          <w:sz w:val="21"/>
          <w:szCs w:val="21"/>
          <w:color w:val="221E1F"/>
        </w:rPr>
        <w:t>SSC</w:t>
      </w: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和财务</w:t>
      </w:r>
      <w:r>
        <w:rPr>
          <w:rFonts w:ascii="Century Gothic" w:cs="Century Gothic" w:eastAsia="Century Gothic" w:hAnsi="Century Gothic"/>
          <w:sz w:val="21"/>
          <w:szCs w:val="21"/>
          <w:color w:val="221E1F"/>
        </w:rPr>
        <w:t>COE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财务人员如何理解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“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以客户为中心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”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财务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SSC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：贴近业务场景的核算组织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财务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BP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：支撑业务精细化运营的财务一线部队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财务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COE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：制定全球财经规则的专家型队伍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800" w:space="220"/>
            <w:col w:w="854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第五模块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6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5"/>
          <w:szCs w:val="35"/>
          <w:b w:val="1"/>
          <w:bCs w:val="1"/>
          <w:color w:val="08788C"/>
        </w:rPr>
        <w:t>财务数字化转型面临的挑战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财务数字化转型的变革管理专题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财务数字化转型常见问题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231140</wp:posOffset>
                </wp:positionV>
                <wp:extent cx="640778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8pt,18.2pt" to="446.55pt,18.2pt" o:allowincell="f" strokecolor="#08788C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800" w:space="220"/>
            <w:col w:w="854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《华为财经数字化转型助力企业经营》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03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bookmarkStart w:id="4" w:name="page5"/>
    <w:bookmarkEnd w:id="4"/>
    <w:p>
      <w:pPr>
        <w:ind w:left="420"/>
        <w:spacing w:after="0" w:line="370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t>击</w:t>
      </w:r>
      <w:r>
        <w:rPr>
          <w:sz w:val="20"/>
          <w:szCs w:val="20"/>
          <w:color w:val="auto"/>
        </w:rPr>
        <w:t xml:space="preserve"> </w:t>
      </w: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t>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-107950</wp:posOffset>
            </wp:positionV>
            <wp:extent cx="6858000" cy="26562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20"/>
        <w:spacing w:after="0" w:line="34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t>直</w:t>
      </w:r>
      <w:r>
        <w:rPr>
          <w:sz w:val="20"/>
          <w:szCs w:val="20"/>
          <w:color w:val="auto"/>
        </w:rPr>
        <w:t xml:space="preserve"> </w:t>
      </w: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t>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tbl>
      <w:tblPr>
        <w:tblLayout w:type="fixed"/>
        <w:tblInd w:w="53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0"/>
        </w:trPr>
        <w:tc>
          <w:tcPr>
            <w:tcW w:w="29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FFFFFF"/>
              </w:rPr>
              <w:t>THE SCENE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60"/>
        <w:spacing w:after="0" w:line="372" w:lineRule="exact"/>
        <w:tabs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08788C"/>
        </w:rPr>
        <w:t>国际合作及荣誉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6A6A6"/>
        </w:rPr>
        <w:t>WIDESPREAD PRAISE</w:t>
      </w:r>
    </w:p>
    <w:p>
      <w:pPr>
        <w:sectPr>
          <w:pgSz w:w="10800" w:h="15600" w:orient="portrait"/>
          <w:cols w:equalWidth="0" w:num="1">
            <w:col w:w="9560"/>
          </w:cols>
          <w:pgMar w:left="500" w:top="1008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3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b w:val="1"/>
          <w:bCs w:val="1"/>
          <w:color w:val="404040"/>
        </w:rPr>
        <w:t>课程获得权威认可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80"/>
        <w:spacing w:after="0" w:line="275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7"/>
          <w:szCs w:val="17"/>
          <w:b w:val="1"/>
          <w:bCs w:val="1"/>
          <w:color w:val="7F7F7F"/>
        </w:rPr>
        <w:t>两度荣膺中国企业培训 “百佳精品课程” 奖两度荣膺中国企业培训 “最佳品牌课程” 奖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3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b w:val="1"/>
          <w:bCs w:val="1"/>
          <w:color w:val="404040"/>
        </w:rPr>
        <w:t>质量获得国际认可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380"/>
        <w:spacing w:after="0" w:line="229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7F7F7F"/>
        </w:rPr>
        <w:t>ACCA在华首家CPD合作机构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480" w:hanging="104"/>
        <w:spacing w:after="0" w:line="229" w:lineRule="exact"/>
        <w:tabs>
          <w:tab w:leader="none" w:pos="480" w:val="left"/>
        </w:tabs>
        <w:numPr>
          <w:ilvl w:val="0"/>
          <w:numId w:val="3"/>
        </w:numP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  <w:t>M A在华首家CPE合作机构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313690</wp:posOffset>
            </wp:positionV>
            <wp:extent cx="1619885" cy="4318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b w:val="1"/>
          <w:bCs w:val="1"/>
          <w:color w:val="404040"/>
        </w:rPr>
        <w:t>服务受到广泛赞誉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right="500"/>
        <w:spacing w:after="0" w:line="291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  <w:t>两度荣获《培训》杂志“中国企业培训行业标杆品牌奖”荣获中国人才（China STAFF）“年度最佳培训公司”奖获赞“中国CFO最信赖的财务培训服务机构”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7F7F7F"/>
        </w:rPr>
        <w:t>独家荣获《新理财杂志》“CFO金牌培训合作伙伴”奖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right="100"/>
        <w:spacing w:after="0" w:line="275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  <w:t>安越总经理马爽先生荣获中欧商学院“20年20人杰出校友奖”中欧国际工商学院获奖案例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-2782570</wp:posOffset>
                </wp:positionH>
                <wp:positionV relativeFrom="paragraph">
                  <wp:posOffset>960120</wp:posOffset>
                </wp:positionV>
                <wp:extent cx="59810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9.0999pt,75.6pt" to="251.85pt,75.6pt" o:allowincell="f" strokecolor="#08788C" strokeweight="1.5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179070</wp:posOffset>
            </wp:positionV>
            <wp:extent cx="2807970" cy="5213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3900" w:space="660"/>
            <w:col w:w="5000"/>
          </w:cols>
          <w:pgMar w:left="500" w:top="1008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340"/>
        <w:spacing w:after="0" w:line="372" w:lineRule="exact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08788C"/>
        </w:rPr>
        <w:t>联系我们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6A6A6"/>
        </w:rPr>
        <w:t>CONTACT US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340"/>
        <w:spacing w:after="0" w:line="264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0"/>
          <w:szCs w:val="20"/>
          <w:color w:val="404040"/>
        </w:rPr>
        <w:t>上海安越企业管理咨询有限公司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EASYFINANCE MANAGEMENT CONSULTING CO.,LTD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center"/>
        <w:ind w:right="6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595959"/>
        </w:rPr>
        <w:t>www.easyfinance.com.cn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center"/>
        <w:ind w:right="6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595959"/>
        </w:rPr>
        <w:t xml:space="preserve">Tel: </w:t>
      </w:r>
      <w:r>
        <w:rPr>
          <w:rFonts w:ascii="Calibri" w:cs="Calibri" w:eastAsia="Calibri" w:hAnsi="Calibri"/>
          <w:sz w:val="24"/>
          <w:szCs w:val="24"/>
          <w:color w:val="08788C"/>
        </w:rPr>
        <w:t>+86 21 58362000-810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ind w:right="6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08788C"/>
        </w:rPr>
        <w:t>+86 15801919100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Mail: BD@EasyFinance.com.cn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40"/>
        <w:spacing w:after="0" w:line="245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Add:</w:t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595959"/>
        </w:rPr>
        <w:t>上海市浦东新区张杨路707号生命人寿大厦1208室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200120, Rm 1208, Sinolife Tower No. 707 Zhangyang Rd.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Pudong, Shanghai China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395605</wp:posOffset>
                </wp:positionV>
                <wp:extent cx="61207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pt,31.15pt" to="483.95pt,31.15pt" o:allowincell="f" strokecolor="#08788C" strokeweight="0.96pt"/>
            </w:pict>
          </mc:Fallback>
        </mc:AlternateContent>
      </w:r>
    </w:p>
    <w:p>
      <w:pPr>
        <w:sectPr>
          <w:pgSz w:w="10800" w:h="15600" w:orient="portrait"/>
          <w:cols w:equalWidth="0" w:num="1">
            <w:col w:w="9560"/>
          </w:cols>
          <w:pgMar w:left="500" w:top="1008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《华为财经数字化转型助力企业经营》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04</w:t>
      </w:r>
    </w:p>
    <w:sectPr>
      <w:pgSz w:w="10800" w:h="15600" w:orient="portrait"/>
      <w:cols w:equalWidth="0" w:num="1">
        <w:col w:w="9560"/>
      </w:cols>
      <w:pgMar w:left="500" w:top="1008" w:right="7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2000009F" w:csb1="DFD7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2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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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image" Target="media/image1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2021-04-20T03:48:02Z</dcterms:created>
  <dcterms:modified xsi:type="dcterms:W3CDTF">2021-04-20T03:48:02Z</dcterms:modified>
</cp:coreProperties>
</file>