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shd w:val="clear" w:fill="FFFFFF"/>
        </w:rPr>
        <w:t>人才盘点师认证班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pacing w:val="23"/>
          <w:sz w:val="22"/>
          <w:szCs w:val="2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1950" cy="3905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  <w:r>
        <w:rPr>
          <w:rStyle w:val="8"/>
          <w:rFonts w:hint="eastAsia" w:ascii="微软雅黑" w:hAnsi="微软雅黑" w:eastAsia="微软雅黑" w:cs="微软雅黑"/>
          <w:color w:val="EEA621"/>
          <w:spacing w:val="23"/>
          <w:sz w:val="24"/>
          <w:szCs w:val="24"/>
        </w:rPr>
        <w:t>课程背景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人才盘点与梯队建设专家认证课程，简称人才盘点师认证，是培训界推出的人才发展领域专业技术认证课程。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10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该认证课程对人才发展技术中最重要的人才盘点技术深度剖析，旨在帮助学员掌握人才盘点的全流程与方法，理解最新的人才继任与发展理念，学习通过科学的方法、工具在内部员工中选拔、培养继任人才，全面提升HR在继任发展工作中的推动能力和把控能力，使企业真正从人才继任与发展中获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105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pacing w:val="23"/>
          <w:sz w:val="22"/>
          <w:szCs w:val="2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1950" cy="390525"/>
            <wp:effectExtent l="0" t="0" r="0" b="9525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  <w:r>
        <w:rPr>
          <w:rStyle w:val="8"/>
          <w:rFonts w:hint="eastAsia" w:ascii="微软雅黑" w:hAnsi="微软雅黑" w:eastAsia="微软雅黑" w:cs="微软雅黑"/>
          <w:color w:val="EEA621"/>
          <w:spacing w:val="23"/>
          <w:sz w:val="24"/>
          <w:szCs w:val="24"/>
        </w:rPr>
        <w:t>课程目标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EA621"/>
          <w:spacing w:val="8"/>
          <w:sz w:val="21"/>
          <w:szCs w:val="21"/>
          <w:shd w:val="clear" w:fill="FFFFFF"/>
        </w:rPr>
        <w:t>总目标：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基于企业战略目标，明确关键岗位序列或层级，掌握如何运用科学的人才盘点的方法和工具，在组织内实施人才盘点，并根据人才盘点结果进行人才决策和人才发展 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10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EA621"/>
          <w:spacing w:val="8"/>
          <w:sz w:val="21"/>
          <w:szCs w:val="21"/>
          <w:shd w:val="clear" w:fill="FFFFFF"/>
        </w:rPr>
        <w:t>具体学习目标：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了解如何通过人才盘点打通组织内的业务战略、组织发展和人才供应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掌握组织内不同层级、序列的人才评价体系和人才盘点框架的设计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掌握各管理层级/岗位序列/岗位的胜任力模型搭建的原则、流程、方法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掌握胜任力测评工具的开发与应用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掌握人才盘点会议的流程、工具与方法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建立基于人才盘点的人才培养体系构建及进行梯队人才建设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了解人才盘点结果的应用范畴和方法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pacing w:val="23"/>
          <w:sz w:val="22"/>
          <w:szCs w:val="2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1950" cy="39052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  <w:r>
        <w:rPr>
          <w:rStyle w:val="8"/>
          <w:rFonts w:hint="eastAsia" w:ascii="微软雅黑" w:hAnsi="微软雅黑" w:eastAsia="微软雅黑" w:cs="微软雅黑"/>
          <w:color w:val="EEA621"/>
          <w:spacing w:val="23"/>
          <w:sz w:val="24"/>
          <w:szCs w:val="24"/>
        </w:rPr>
        <w:t>课程特色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该课程采用的人才盘点技术是基于为多家知名企业项目实践心得，独自研发适合中国企业的人才盘点方法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精准且科学建模：多维度的、多个科学方法论（工作任务分析、岗位画像、卡片法）融合，精准萃取岗位典型场景、任务、成功案例以及标杆事件/人物，快速分析出典型的胜任力要素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设计基于心理学的、逻辑结构严谨且易学易用的测评工具，对个性化定制的胜任力模型进行科学而敏捷的测评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人才盘点无缝链接人才培养，有效进行梯队人才建设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jc w:val="left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4" w:leftChars="0" w:right="0" w:rightChars="0"/>
        <w:jc w:val="both"/>
        <w:rPr>
          <w:rFonts w:hint="eastAsia" w:ascii="微软雅黑" w:hAnsi="微软雅黑" w:eastAsia="微软雅黑" w:cs="微软雅黑"/>
          <w:spacing w:val="2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61950" cy="390525"/>
            <wp:effectExtent l="0" t="0" r="0" b="9525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 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EA621"/>
          <w:spacing w:val="23"/>
          <w:sz w:val="24"/>
          <w:szCs w:val="24"/>
          <w:shd w:val="clear" w:fill="FFFFFF"/>
        </w:rPr>
        <w:t>课程收益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以工作坊的形式，现场输出管理层级/岗位序列/岗位的胜任力模型，包含工作职责和任务分析、完成该工作所需要的能力和知识，能力项定义及行为描述；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掌握建立岗位胜任力模型技术，包括基本原则、流程、与方法，识别企业各岗位实现高绩效的要素；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掌握胜任力测评技术、报告解读和测评结果反馈技术；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掌握人才盘点流程、工具和方法，在企业内自行开展人才盘点工作；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建立提升员工胜任力的人才培养机制，从内部发掘和培养人才，找到高效率、低成本的人才培养方法。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微软雅黑" w:hAnsi="微软雅黑" w:eastAsia="微软雅黑" w:cs="微软雅黑"/>
          <w:spacing w:val="2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61950" cy="390525"/>
            <wp:effectExtent l="0" t="0" r="0" b="9525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 xml:space="preserve"> 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EA621"/>
          <w:spacing w:val="23"/>
          <w:sz w:val="24"/>
          <w:szCs w:val="24"/>
          <w:shd w:val="clear" w:fill="FFFFFF"/>
        </w:rPr>
        <w:t>学习形式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小班学习，不超过30人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引导+体验+互动+演练+测评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团队参与、案例演练、互动研讨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pacing w:val="23"/>
          <w:sz w:val="22"/>
          <w:szCs w:val="2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1950" cy="390525"/>
            <wp:effectExtent l="0" t="0" r="0" b="9525"/>
            <wp:docPr id="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EA621"/>
          <w:spacing w:val="23"/>
          <w:sz w:val="24"/>
          <w:szCs w:val="24"/>
          <w:shd w:val="clear" w:fill="FFFFFF"/>
        </w:rPr>
        <w:t>学习对象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微软雅黑" w:hAnsi="微软雅黑" w:eastAsia="微软雅黑" w:cs="微软雅黑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企业中高层管理者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企业人力资源、组织发展、人才发展总监、经理、主管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企业培训总监、培训经理、培训主管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6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企业大学校长、教研主任、教务主任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10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pacing w:val="23"/>
          <w:sz w:val="22"/>
          <w:szCs w:val="2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1950" cy="390525"/>
            <wp:effectExtent l="0" t="0" r="0" b="9525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  <w:r>
        <w:rPr>
          <w:rStyle w:val="8"/>
          <w:rFonts w:hint="eastAsia" w:ascii="微软雅黑" w:hAnsi="微软雅黑" w:eastAsia="微软雅黑" w:cs="微软雅黑"/>
          <w:color w:val="EEA621"/>
          <w:spacing w:val="23"/>
          <w:sz w:val="24"/>
          <w:szCs w:val="24"/>
        </w:rPr>
        <w:t>课程大纲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40020" cy="6568440"/>
            <wp:effectExtent l="0" t="0" r="17780" b="3810"/>
            <wp:docPr id="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6568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pacing w:val="23"/>
          <w:sz w:val="22"/>
          <w:szCs w:val="2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1950" cy="390525"/>
            <wp:effectExtent l="0" t="0" r="0" b="9525"/>
            <wp:docPr id="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IMG_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  <w:r>
        <w:rPr>
          <w:rStyle w:val="8"/>
          <w:rFonts w:hint="eastAsia" w:ascii="微软雅黑" w:hAnsi="微软雅黑" w:eastAsia="微软雅黑" w:cs="微软雅黑"/>
          <w:color w:val="EEA621"/>
          <w:spacing w:val="23"/>
          <w:sz w:val="24"/>
          <w:szCs w:val="24"/>
        </w:rPr>
        <w:t>讲师简介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Style w:val="8"/>
          <w:rFonts w:hint="eastAsia" w:ascii="微软雅黑" w:hAnsi="微软雅黑" w:eastAsia="微软雅黑" w:cs="微软雅黑"/>
          <w:sz w:val="22"/>
          <w:szCs w:val="22"/>
        </w:rPr>
        <w:t>吴穗敏</w:t>
      </w:r>
      <w:r>
        <w:rPr>
          <w:rFonts w:hint="eastAsia" w:ascii="微软雅黑" w:hAnsi="微软雅黑" w:eastAsia="微软雅黑" w:cs="微软雅黑"/>
          <w:sz w:val="22"/>
          <w:szCs w:val="22"/>
        </w:rPr>
        <w:t> </w:t>
      </w:r>
      <w:r>
        <w:rPr>
          <w:rStyle w:val="8"/>
          <w:rFonts w:hint="eastAsia" w:ascii="微软雅黑" w:hAnsi="微软雅黑" w:eastAsia="微软雅黑" w:cs="微软雅黑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hd w:val="clear" w:color="auto" w:fill="auto"/>
        </w:rPr>
      </w:pPr>
      <w:r>
        <w:rPr>
          <w:rStyle w:val="8"/>
          <w:rFonts w:hint="eastAsia" w:ascii="微软雅黑" w:hAnsi="微软雅黑" w:eastAsia="微软雅黑" w:cs="微软雅黑"/>
          <w:color w:val="EEA621"/>
          <w:spacing w:val="15"/>
          <w:sz w:val="21"/>
          <w:szCs w:val="21"/>
          <w:shd w:val="clear" w:color="auto" w:fill="auto"/>
        </w:rPr>
        <w:t>培训界顾问老师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135255</wp:posOffset>
            </wp:positionV>
            <wp:extent cx="1685290" cy="1999615"/>
            <wp:effectExtent l="0" t="0" r="10160" b="635"/>
            <wp:wrapSquare wrapText="bothSides"/>
            <wp:docPr id="5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IMG_26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8"/>
          <w:rFonts w:hint="eastAsia" w:ascii="微软雅黑" w:hAnsi="微软雅黑" w:eastAsia="微软雅黑" w:cs="微软雅黑"/>
          <w:color w:val="EEA621"/>
          <w:sz w:val="19"/>
          <w:szCs w:val="19"/>
        </w:rPr>
        <w:t>【背景】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原法国Bostik波士胶中国区学习与发展经理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曾任职于摩托罗拉、葛兰素史克销售管理及人力资源管理工作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15年世界500强企业管理工作经验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原安迪曼咨询胜任力建模与测评、 结构化在岗培训技术专业带头人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原肯耐珂萨人才发展专家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Style w:val="8"/>
          <w:rFonts w:hint="eastAsia" w:ascii="微软雅黑" w:hAnsi="微软雅黑" w:eastAsia="微软雅黑" w:cs="微软雅黑"/>
          <w:color w:val="EEA621"/>
          <w:sz w:val="19"/>
          <w:szCs w:val="19"/>
        </w:rPr>
        <w:t>【专业领域】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15"/>
          <w:sz w:val="18"/>
          <w:szCs w:val="18"/>
          <w:shd w:val="clear" w:color="auto" w:fill="auto"/>
        </w:rPr>
      </w:pPr>
      <w:r>
        <w:rPr>
          <w:rFonts w:hint="eastAsia" w:ascii="微软雅黑" w:hAnsi="微软雅黑" w:eastAsia="微软雅黑" w:cs="微软雅黑"/>
          <w:spacing w:val="15"/>
          <w:sz w:val="19"/>
          <w:szCs w:val="19"/>
          <w:shd w:val="clear" w:color="auto" w:fill="auto"/>
        </w:rPr>
        <w:t>胜任力建模及测评、人才盘点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15"/>
          <w:sz w:val="18"/>
          <w:szCs w:val="18"/>
          <w:shd w:val="clear" w:color="auto" w:fill="auto"/>
        </w:rPr>
      </w:pPr>
      <w:r>
        <w:rPr>
          <w:rFonts w:hint="eastAsia" w:ascii="微软雅黑" w:hAnsi="微软雅黑" w:eastAsia="微软雅黑" w:cs="微软雅黑"/>
          <w:spacing w:val="15"/>
          <w:sz w:val="19"/>
          <w:szCs w:val="19"/>
          <w:shd w:val="clear" w:color="auto" w:fill="auto"/>
        </w:rPr>
        <w:t>管理人员/关键人才培养项目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15"/>
          <w:sz w:val="18"/>
          <w:szCs w:val="18"/>
          <w:shd w:val="clear" w:color="auto" w:fill="auto"/>
        </w:rPr>
      </w:pPr>
      <w:r>
        <w:rPr>
          <w:rFonts w:hint="eastAsia" w:ascii="微软雅黑" w:hAnsi="微软雅黑" w:eastAsia="微软雅黑" w:cs="微软雅黑"/>
          <w:spacing w:val="15"/>
          <w:sz w:val="19"/>
          <w:szCs w:val="19"/>
          <w:shd w:val="clear" w:color="auto" w:fill="auto"/>
        </w:rPr>
        <w:t>结构化在岗培训及导师制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15"/>
          <w:sz w:val="18"/>
          <w:szCs w:val="18"/>
          <w:shd w:val="clear" w:color="auto" w:fill="auto"/>
        </w:rPr>
      </w:pPr>
      <w:r>
        <w:rPr>
          <w:rFonts w:hint="eastAsia" w:ascii="微软雅黑" w:hAnsi="微软雅黑" w:eastAsia="微软雅黑" w:cs="微软雅黑"/>
          <w:spacing w:val="15"/>
          <w:sz w:val="19"/>
          <w:szCs w:val="19"/>
          <w:shd w:val="clear" w:color="auto" w:fill="auto"/>
        </w:rPr>
        <w:t>任职资格体系建设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课程体系/学习地图设计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案例设计与开发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业务流程梳理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Style w:val="8"/>
          <w:rFonts w:hint="eastAsia" w:ascii="微软雅黑" w:hAnsi="微软雅黑" w:eastAsia="微软雅黑" w:cs="微软雅黑"/>
          <w:color w:val="EEA621"/>
          <w:sz w:val="19"/>
          <w:szCs w:val="19"/>
        </w:rPr>
        <w:t>【部分案例】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名创优品商品中心人才盘点项目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波士胶（中国）人才盘点项目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伊利集团胜任力模型及课程体系建设项目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......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课程信息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EEA621" w:sz="0" w:space="0"/>
          <w:left w:val="none" w:color="EEA621" w:sz="0" w:space="0"/>
          <w:bottom w:val="none" w:color="EEA621" w:sz="0" w:space="0"/>
          <w:right w:val="none" w:color="EEA621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Style w:val="8"/>
          <w:rFonts w:hint="eastAsia" w:ascii="微软雅黑" w:hAnsi="微软雅黑" w:eastAsia="微软雅黑" w:cs="微软雅黑"/>
          <w:color w:val="1B1A1A"/>
          <w:sz w:val="21"/>
          <w:szCs w:val="21"/>
        </w:rPr>
        <w:t>课程时间：6月5日-6日</w:t>
      </w:r>
      <w:r>
        <w:rPr>
          <w:rFonts w:hint="eastAsia" w:ascii="微软雅黑" w:hAnsi="微软雅黑" w:eastAsia="微软雅黑" w:cs="微软雅黑"/>
          <w:color w:val="1B1A1A"/>
          <w:sz w:val="21"/>
          <w:szCs w:val="21"/>
        </w:rPr>
        <w:t>（周六日）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5490"/>
          <w:spacing w:val="23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</w:rPr>
        <w:t>课程地点：深圳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</w:rPr>
        <w:t>（报名后告知具体地址）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</w:rPr>
        <w:t>课程费用：6800元/人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</w:rPr>
        <w:t>（含培训费、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  <w:lang w:val="en-US" w:eastAsia="zh-CN"/>
        </w:rPr>
        <w:t>证书费、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</w:rPr>
        <w:t>教材费、场地资料费，不含差旅食宿费）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-1139825</wp:posOffset>
          </wp:positionH>
          <wp:positionV relativeFrom="page">
            <wp:posOffset>0</wp:posOffset>
          </wp:positionV>
          <wp:extent cx="7556500" cy="10688320"/>
          <wp:effectExtent l="0" t="0" r="6350" b="17780"/>
          <wp:wrapNone/>
          <wp:docPr id="1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039C5"/>
    <w:rsid w:val="2F157D14"/>
    <w:rsid w:val="45DE5F60"/>
    <w:rsid w:val="460A07DA"/>
    <w:rsid w:val="4E2636A1"/>
    <w:rsid w:val="6D3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2021-04-15T01:10:00Z</dcterms:created>
  <dc:creator>Admin</dc:creator>
  <cp:lastModifiedBy>谭建琴</cp:lastModifiedBy>
  <dcterms:modified xsi:type="dcterms:W3CDTF">2021-04-15T01:26:13Z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30CAFF84052D492AA02616B5309E9754</vt:lpwstr>
  </property>
</Properties>
</file>