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06827" w:rsidRPr="000D47AC" w:rsidRDefault="000D47AC" w:rsidP="00837E93">
      <w:pPr>
        <w:spacing w:beforeLines="50" w:afterLines="100" w:line="440" w:lineRule="exact"/>
        <w:jc w:val="center"/>
        <w:rPr>
          <w:rFonts w:ascii="微软雅黑" w:eastAsia="微软雅黑" w:hAnsi="微软雅黑"/>
          <w:b/>
          <w:color w:val="FF0000"/>
          <w:sz w:val="36"/>
          <w:szCs w:val="36"/>
        </w:rPr>
      </w:pPr>
      <w:bookmarkStart w:id="0" w:name="OLE_LINK1"/>
      <w:r w:rsidRPr="000D47AC">
        <w:rPr>
          <w:rFonts w:ascii="微软雅黑" w:eastAsia="微软雅黑" w:hAnsi="微软雅黑" w:hint="eastAsia"/>
          <w:b/>
          <w:color w:val="FF0000"/>
          <w:sz w:val="36"/>
          <w:szCs w:val="36"/>
        </w:rPr>
        <w:t>精益生产(丰田TPS)实战训练营+广汽新能源标杆参观</w:t>
      </w:r>
    </w:p>
    <w:p w:rsidR="009719AE" w:rsidRPr="00254078" w:rsidRDefault="009719AE" w:rsidP="009719AE">
      <w:pPr>
        <w:rPr>
          <w:rFonts w:ascii="微软雅黑" w:eastAsia="微软雅黑" w:hAnsi="微软雅黑"/>
          <w:szCs w:val="21"/>
        </w:rPr>
      </w:pPr>
      <w:r w:rsidRPr="00254078">
        <w:rPr>
          <w:rFonts w:ascii="微软雅黑" w:eastAsia="微软雅黑" w:hAnsi="微软雅黑" w:hint="eastAsia"/>
          <w:b/>
          <w:bCs/>
          <w:szCs w:val="21"/>
        </w:rPr>
        <w:t>主办单位：</w:t>
      </w:r>
      <w:r w:rsidRPr="00254078">
        <w:rPr>
          <w:rFonts w:ascii="微软雅黑" w:eastAsia="微软雅黑" w:hAnsi="微软雅黑" w:hint="eastAsia"/>
          <w:szCs w:val="21"/>
        </w:rPr>
        <w:t>一六八培训网</w:t>
      </w:r>
      <w:r w:rsidRPr="00254078">
        <w:rPr>
          <w:rFonts w:ascii="微软雅黑" w:eastAsia="微软雅黑" w:hAnsi="微软雅黑"/>
          <w:szCs w:val="21"/>
        </w:rPr>
        <w:t xml:space="preserve"> </w:t>
      </w:r>
      <w:hyperlink r:id="rId7" w:history="1">
        <w:r w:rsidRPr="00254078">
          <w:rPr>
            <w:rStyle w:val="a7"/>
            <w:rFonts w:ascii="微软雅黑" w:eastAsia="微软雅黑" w:hAnsi="微软雅黑"/>
            <w:szCs w:val="21"/>
          </w:rPr>
          <w:t>www.peixun168.com</w:t>
        </w:r>
      </w:hyperlink>
      <w:r w:rsidRPr="00254078">
        <w:rPr>
          <w:rFonts w:ascii="微软雅黑" w:eastAsia="微软雅黑" w:hAnsi="微软雅黑"/>
          <w:szCs w:val="21"/>
        </w:rPr>
        <w:t xml:space="preserve"> </w:t>
      </w:r>
    </w:p>
    <w:p w:rsidR="00206827" w:rsidRPr="00254078" w:rsidRDefault="00C227BB" w:rsidP="00837E93">
      <w:pPr>
        <w:spacing w:beforeLines="50" w:afterLines="100" w:line="440" w:lineRule="exact"/>
        <w:rPr>
          <w:rFonts w:ascii="微软雅黑" w:eastAsia="微软雅黑" w:hAnsi="微软雅黑"/>
          <w:szCs w:val="21"/>
        </w:rPr>
      </w:pPr>
      <w:r w:rsidRPr="00254078">
        <w:rPr>
          <w:rFonts w:ascii="微软雅黑" w:eastAsia="微软雅黑" w:hAnsi="微软雅黑" w:cs="宋体" w:hint="eastAsia"/>
          <w:b/>
          <w:szCs w:val="21"/>
        </w:rPr>
        <w:t>课</w:t>
      </w:r>
      <w:r w:rsidR="009719AE" w:rsidRPr="00254078">
        <w:rPr>
          <w:rFonts w:ascii="微软雅黑" w:eastAsia="微软雅黑" w:hAnsi="微软雅黑" w:cs="宋体" w:hint="eastAsia"/>
          <w:b/>
          <w:szCs w:val="21"/>
        </w:rPr>
        <w:t>程</w:t>
      </w:r>
      <w:r w:rsidRPr="00254078">
        <w:rPr>
          <w:rFonts w:ascii="微软雅黑" w:eastAsia="微软雅黑" w:hAnsi="微软雅黑" w:cs="宋体" w:hint="eastAsia"/>
          <w:b/>
          <w:szCs w:val="21"/>
        </w:rPr>
        <w:t>时间：</w:t>
      </w:r>
      <w:r w:rsidRPr="00254078">
        <w:rPr>
          <w:rFonts w:ascii="微软雅黑" w:eastAsia="微软雅黑" w:hAnsi="微软雅黑" w:hint="eastAsia"/>
          <w:szCs w:val="21"/>
        </w:rPr>
        <w:t>2021年06月17-18日  广州</w:t>
      </w:r>
    </w:p>
    <w:p w:rsidR="00206827" w:rsidRPr="00254078" w:rsidRDefault="00C227BB" w:rsidP="00837E93">
      <w:pPr>
        <w:spacing w:beforeLines="50" w:afterLines="100" w:line="440" w:lineRule="exact"/>
        <w:ind w:firstLineChars="550" w:firstLine="1155"/>
        <w:rPr>
          <w:rFonts w:ascii="微软雅黑" w:eastAsia="微软雅黑" w:hAnsi="微软雅黑"/>
          <w:szCs w:val="21"/>
        </w:rPr>
      </w:pPr>
      <w:r w:rsidRPr="00254078">
        <w:rPr>
          <w:rFonts w:ascii="微软雅黑" w:eastAsia="微软雅黑" w:hAnsi="微软雅黑" w:hint="eastAsia"/>
          <w:szCs w:val="21"/>
        </w:rPr>
        <w:t>2021年08月19-20日</w:t>
      </w:r>
      <w:r w:rsidR="009719AE" w:rsidRPr="00254078">
        <w:rPr>
          <w:rFonts w:ascii="微软雅黑" w:eastAsia="微软雅黑" w:hAnsi="微软雅黑" w:hint="eastAsia"/>
          <w:szCs w:val="21"/>
        </w:rPr>
        <w:t xml:space="preserve">  </w:t>
      </w:r>
      <w:r w:rsidRPr="00254078">
        <w:rPr>
          <w:rFonts w:ascii="微软雅黑" w:eastAsia="微软雅黑" w:hAnsi="微软雅黑" w:hint="eastAsia"/>
          <w:szCs w:val="21"/>
        </w:rPr>
        <w:t xml:space="preserve">广州  </w:t>
      </w:r>
    </w:p>
    <w:p w:rsidR="00206827" w:rsidRPr="00254078" w:rsidRDefault="00C227BB" w:rsidP="00837E93">
      <w:pPr>
        <w:spacing w:beforeLines="50" w:afterLines="100" w:line="440" w:lineRule="exact"/>
        <w:ind w:firstLineChars="550" w:firstLine="1155"/>
        <w:rPr>
          <w:rFonts w:ascii="微软雅黑" w:eastAsia="微软雅黑" w:hAnsi="微软雅黑"/>
          <w:szCs w:val="21"/>
        </w:rPr>
      </w:pPr>
      <w:r w:rsidRPr="00254078">
        <w:rPr>
          <w:rFonts w:ascii="微软雅黑" w:eastAsia="微软雅黑" w:hAnsi="微软雅黑" w:hint="eastAsia"/>
          <w:szCs w:val="21"/>
        </w:rPr>
        <w:t>2021年11月25-26日  广州</w:t>
      </w:r>
    </w:p>
    <w:p w:rsidR="00206827" w:rsidRPr="00CF4460" w:rsidRDefault="00C227BB" w:rsidP="00837E93">
      <w:pPr>
        <w:spacing w:beforeLines="50" w:afterLines="100" w:line="440" w:lineRule="exact"/>
        <w:rPr>
          <w:rFonts w:ascii="微软雅黑" w:eastAsia="微软雅黑" w:hAnsi="微软雅黑"/>
          <w:szCs w:val="21"/>
        </w:rPr>
      </w:pPr>
      <w:r w:rsidRPr="00254078">
        <w:rPr>
          <w:rFonts w:ascii="微软雅黑" w:eastAsia="微软雅黑" w:hAnsi="微软雅黑" w:cs="宋体" w:hint="eastAsia"/>
          <w:b/>
          <w:bCs/>
          <w:szCs w:val="21"/>
        </w:rPr>
        <w:t>课程费用：</w:t>
      </w:r>
      <w:r w:rsidR="00C86EC3" w:rsidRPr="00254078">
        <w:rPr>
          <w:rFonts w:ascii="微软雅黑" w:eastAsia="微软雅黑" w:hAnsi="微软雅黑"/>
          <w:szCs w:val="21"/>
        </w:rPr>
        <w:t>4</w:t>
      </w:r>
      <w:r w:rsidR="00B435BD" w:rsidRPr="00254078">
        <w:rPr>
          <w:rFonts w:ascii="微软雅黑" w:eastAsia="微软雅黑" w:hAnsi="微软雅黑"/>
          <w:szCs w:val="21"/>
        </w:rPr>
        <w:t>580</w:t>
      </w:r>
      <w:r w:rsidRPr="00254078">
        <w:rPr>
          <w:rFonts w:ascii="微软雅黑" w:eastAsia="微软雅黑" w:hAnsi="微软雅黑" w:hint="eastAsia"/>
          <w:szCs w:val="21"/>
        </w:rPr>
        <w:t>元/人</w:t>
      </w:r>
      <w:r w:rsidRPr="00CF4460">
        <w:rPr>
          <w:rFonts w:ascii="微软雅黑" w:eastAsia="微软雅黑" w:hAnsi="微软雅黑" w:hint="eastAsia"/>
          <w:szCs w:val="21"/>
        </w:rPr>
        <w:t>（含资料费、专家演讲费、会务费）住宿可统一安排，费用自理</w:t>
      </w:r>
    </w:p>
    <w:p w:rsidR="00206827" w:rsidRPr="00254078" w:rsidRDefault="00C227BB" w:rsidP="00837E93">
      <w:pPr>
        <w:spacing w:beforeLines="50" w:afterLines="100" w:line="440" w:lineRule="exact"/>
        <w:ind w:left="1155" w:hangingChars="550" w:hanging="1155"/>
        <w:rPr>
          <w:rFonts w:ascii="微软雅黑" w:eastAsia="微软雅黑" w:hAnsi="微软雅黑"/>
          <w:szCs w:val="21"/>
        </w:rPr>
      </w:pPr>
      <w:r w:rsidRPr="00254078">
        <w:rPr>
          <w:rFonts w:ascii="微软雅黑" w:eastAsia="微软雅黑" w:hAnsi="微软雅黑" w:cs="宋体" w:hint="eastAsia"/>
          <w:b/>
          <w:bCs/>
          <w:szCs w:val="21"/>
        </w:rPr>
        <w:t>培训对象：</w:t>
      </w:r>
      <w:r w:rsidRPr="00254078">
        <w:rPr>
          <w:rFonts w:ascii="微软雅黑" w:eastAsia="微软雅黑" w:hAnsi="微软雅黑" w:hint="eastAsia"/>
          <w:szCs w:val="21"/>
        </w:rPr>
        <w:t>总经理/生产总监/工厂长/生产计划部/生产部/设备部/成本控制部/IT情报部门等关联部门主管及专员。</w:t>
      </w:r>
    </w:p>
    <w:p w:rsidR="00206827" w:rsidRPr="00254078" w:rsidRDefault="00C227BB" w:rsidP="00837E93">
      <w:pPr>
        <w:spacing w:beforeLines="50" w:afterLines="100" w:line="440" w:lineRule="exact"/>
        <w:rPr>
          <w:rFonts w:ascii="微软雅黑" w:eastAsia="微软雅黑" w:hAnsi="微软雅黑"/>
          <w:szCs w:val="21"/>
        </w:rPr>
      </w:pPr>
      <w:r w:rsidRPr="00254078">
        <w:rPr>
          <w:rFonts w:ascii="微软雅黑" w:eastAsia="微软雅黑" w:hAnsi="微软雅黑" w:cs="宋体" w:hint="eastAsia"/>
          <w:b/>
          <w:bCs/>
          <w:szCs w:val="21"/>
        </w:rPr>
        <w:t>授课形式：</w:t>
      </w:r>
      <w:r w:rsidRPr="00254078">
        <w:rPr>
          <w:rFonts w:ascii="微软雅黑" w:eastAsia="微软雅黑" w:hAnsi="微软雅黑" w:hint="eastAsia"/>
          <w:szCs w:val="21"/>
        </w:rPr>
        <w:t>现场参访问交流+讲师教授+沙盘演练+角色演讲+PK互动+案例研讨+提问讨论。</w:t>
      </w:r>
    </w:p>
    <w:p w:rsidR="00254078" w:rsidRPr="00254078" w:rsidRDefault="00254078" w:rsidP="00254078">
      <w:pPr>
        <w:rPr>
          <w:rFonts w:ascii="微软雅黑" w:eastAsia="微软雅黑" w:hAnsi="微软雅黑"/>
          <w:szCs w:val="21"/>
        </w:rPr>
      </w:pPr>
      <w:r w:rsidRPr="00254078">
        <w:rPr>
          <w:rFonts w:ascii="微软雅黑" w:eastAsia="微软雅黑" w:hAnsi="微软雅黑" w:hint="eastAsia"/>
          <w:b/>
          <w:bCs/>
          <w:szCs w:val="21"/>
        </w:rPr>
        <w:t>联系电话：</w:t>
      </w:r>
      <w:r w:rsidRPr="00254078">
        <w:rPr>
          <w:rFonts w:ascii="微软雅黑" w:eastAsia="微软雅黑" w:hAnsi="微软雅黑"/>
          <w:szCs w:val="21"/>
        </w:rPr>
        <w:t xml:space="preserve">O755-86154193  86154194    </w:t>
      </w:r>
      <w:r w:rsidRPr="00254078">
        <w:rPr>
          <w:rFonts w:ascii="微软雅黑" w:eastAsia="微软雅黑" w:hAnsi="微软雅黑" w:hint="eastAsia"/>
          <w:szCs w:val="21"/>
        </w:rPr>
        <w:t>胡先生</w:t>
      </w:r>
      <w:r w:rsidRPr="00254078">
        <w:rPr>
          <w:rFonts w:ascii="微软雅黑" w:eastAsia="微软雅黑" w:hAnsi="微软雅黑"/>
          <w:szCs w:val="21"/>
        </w:rPr>
        <w:t xml:space="preserve">   </w:t>
      </w:r>
      <w:r w:rsidRPr="00254078">
        <w:rPr>
          <w:rFonts w:ascii="微软雅黑" w:eastAsia="微软雅黑" w:hAnsi="微软雅黑" w:hint="eastAsia"/>
          <w:szCs w:val="21"/>
        </w:rPr>
        <w:t>林先生</w:t>
      </w:r>
    </w:p>
    <w:p w:rsidR="00206827" w:rsidRPr="00254078" w:rsidRDefault="00C227BB" w:rsidP="00837E93">
      <w:pPr>
        <w:spacing w:beforeLines="50" w:afterLines="50" w:line="440" w:lineRule="exact"/>
        <w:rPr>
          <w:rFonts w:ascii="微软雅黑" w:eastAsia="微软雅黑" w:hAnsi="微软雅黑"/>
          <w:szCs w:val="21"/>
        </w:rPr>
      </w:pPr>
      <w:r w:rsidRPr="00254078">
        <w:rPr>
          <w:rFonts w:ascii="微软雅黑" w:eastAsia="微软雅黑" w:hAnsi="微软雅黑" w:cs="宋体" w:hint="eastAsia"/>
          <w:b/>
          <w:bCs/>
          <w:szCs w:val="21"/>
        </w:rPr>
        <w:t>认证费用：</w:t>
      </w:r>
      <w:r w:rsidRPr="00254078">
        <w:rPr>
          <w:rFonts w:ascii="微软雅黑" w:eastAsia="微软雅黑" w:hAnsi="微软雅黑" w:hint="eastAsia"/>
          <w:szCs w:val="21"/>
        </w:rPr>
        <w:t xml:space="preserve">中级证书1000元/人;高级证书1200元/人(参加认证考试的学员须交纳此费用，不参加认证考试的学员无须交纳)　</w:t>
      </w:r>
    </w:p>
    <w:p w:rsidR="00206827" w:rsidRPr="00254078" w:rsidRDefault="00C227BB">
      <w:pPr>
        <w:spacing w:line="440" w:lineRule="exact"/>
        <w:rPr>
          <w:rFonts w:ascii="微软雅黑" w:eastAsia="微软雅黑" w:hAnsi="微软雅黑" w:cs="宋体"/>
          <w:b/>
          <w:bCs/>
          <w:szCs w:val="21"/>
        </w:rPr>
      </w:pPr>
      <w:r w:rsidRPr="00254078">
        <w:rPr>
          <w:rFonts w:ascii="微软雅黑" w:eastAsia="微软雅黑" w:hAnsi="微软雅黑" w:cs="宋体" w:hint="eastAsia"/>
          <w:b/>
          <w:bCs/>
          <w:szCs w:val="21"/>
        </w:rPr>
        <w:t>备　　注:</w:t>
      </w:r>
    </w:p>
    <w:p w:rsidR="00206827" w:rsidRPr="00254078" w:rsidRDefault="00C227BB">
      <w:pPr>
        <w:spacing w:line="440" w:lineRule="exact"/>
        <w:rPr>
          <w:rFonts w:ascii="微软雅黑" w:eastAsia="微软雅黑" w:hAnsi="微软雅黑"/>
          <w:szCs w:val="21"/>
        </w:rPr>
      </w:pPr>
      <w:r w:rsidRPr="00254078">
        <w:rPr>
          <w:rFonts w:ascii="微软雅黑" w:eastAsia="微软雅黑" w:hAnsi="微软雅黑" w:hint="eastAsia"/>
          <w:szCs w:val="21"/>
        </w:rPr>
        <w:t>1.高级证书申请须同时进行理论考试和提交论文考试，学员在报名参加培训和认证时请提前准备好论文并随理论考试试卷一同提交。</w:t>
      </w:r>
    </w:p>
    <w:p w:rsidR="00206827" w:rsidRPr="00254078" w:rsidRDefault="00C227BB">
      <w:pPr>
        <w:spacing w:line="440" w:lineRule="exact"/>
        <w:rPr>
          <w:rFonts w:ascii="微软雅黑" w:eastAsia="微软雅黑" w:hAnsi="微软雅黑"/>
          <w:szCs w:val="21"/>
        </w:rPr>
      </w:pPr>
      <w:r w:rsidRPr="00254078">
        <w:rPr>
          <w:rFonts w:ascii="微软雅黑" w:eastAsia="微软雅黑" w:hAnsi="微软雅黑" w:hint="eastAsia"/>
          <w:szCs w:val="21"/>
        </w:rPr>
        <w:t>2.凡希望参加认证考试之学员，在培训结束后参加认证考试并合格者，由“香港国际职业资格认证中心HKTCC”颁发与所参加培训课程专业领域相对应证书。（国际认证／全球通行／雇主认可／联网查询）。</w:t>
      </w:r>
    </w:p>
    <w:p w:rsidR="00206827" w:rsidRPr="00254078" w:rsidRDefault="00C227BB" w:rsidP="00837E93">
      <w:pPr>
        <w:spacing w:afterLines="100" w:line="440" w:lineRule="exact"/>
        <w:rPr>
          <w:rFonts w:ascii="微软雅黑" w:eastAsia="微软雅黑" w:hAnsi="微软雅黑"/>
          <w:szCs w:val="21"/>
        </w:rPr>
      </w:pPr>
      <w:r w:rsidRPr="00254078">
        <w:rPr>
          <w:rFonts w:ascii="微软雅黑" w:eastAsia="微软雅黑" w:hAnsi="微软雅黑" w:hint="eastAsia"/>
          <w:szCs w:val="21"/>
        </w:rPr>
        <w:t>3.课程结束后20日内将证书快递寄给学员；</w:t>
      </w:r>
    </w:p>
    <w:bookmarkEnd w:id="0"/>
    <w:p w:rsidR="00206827" w:rsidRDefault="00C227BB">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课程背景</w:t>
      </w:r>
    </w:p>
    <w:p w:rsidR="00206827" w:rsidRDefault="00206827">
      <w:pPr>
        <w:tabs>
          <w:tab w:val="left" w:pos="420"/>
        </w:tabs>
        <w:spacing w:line="440" w:lineRule="exact"/>
        <w:ind w:firstLineChars="200" w:firstLine="480"/>
        <w:rPr>
          <w:rFonts w:asciiTheme="minorEastAsia" w:hAnsiTheme="minorEastAsia"/>
          <w:sz w:val="24"/>
        </w:rPr>
      </w:pP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丰田汽车公司作为全球汽车制造行业的标杆企业，以其高效率、高品质、高利润、优服务的丰田生产管理方式享誉全球。丰田精益考察课程，是由专业老师带领学员前往丰田企业</w:t>
      </w:r>
      <w:r>
        <w:rPr>
          <w:rFonts w:asciiTheme="minorEastAsia" w:hAnsiTheme="minorEastAsia" w:hint="eastAsia"/>
          <w:sz w:val="24"/>
        </w:rPr>
        <w:lastRenderedPageBreak/>
        <w:t>现场参观考察，并与丰田汽车人展开深入的现场交流，考察完后，专业老师再和参观学员共同总结点评考察的收获，让学员听就懂、看就会、想就通、用就益。随着全球性经济疲软以及我国劳动力成本、原材料成本等的不断提升，导致市场需求萎缩、发达国家高端制造企业向本土回流，贸易保护引起的制造业举步艰难，中国制造企业正面临成本提升、订单减少、出口锐减、企业生存等一系列前所未有的挑战。企业家们必须快速找到适合自身企业发展的道路，精益管理就是捷径。通过标杆企业现场考察，精益管理理论领悟，重新定位企业方向，引领制企业深度变革，快速调整自身企业的发展之路，不断做精、做强、做大。</w:t>
      </w:r>
    </w:p>
    <w:p w:rsidR="00206827" w:rsidRDefault="00C227BB">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b/>
          <w:sz w:val="30"/>
          <w:szCs w:val="30"/>
        </w:rPr>
        <w:t>标杆企业背景</w:t>
      </w:r>
    </w:p>
    <w:p w:rsidR="00206827" w:rsidRDefault="00C227BB">
      <w:pPr>
        <w:tabs>
          <w:tab w:val="left" w:pos="420"/>
        </w:tabs>
        <w:spacing w:line="440" w:lineRule="exact"/>
        <w:ind w:firstLineChars="200" w:firstLine="420"/>
        <w:rPr>
          <w:rFonts w:asciiTheme="minorEastAsia" w:hAnsiTheme="minorEastAsia"/>
          <w:sz w:val="24"/>
        </w:rPr>
      </w:pPr>
      <w:r>
        <w:rPr>
          <w:rFonts w:hint="eastAsia"/>
          <w:noProof/>
        </w:rPr>
        <w:drawing>
          <wp:anchor distT="0" distB="0" distL="114300" distR="114300" simplePos="0" relativeHeight="251658240" behindDoc="0" locked="0" layoutInCell="1" allowOverlap="1">
            <wp:simplePos x="0" y="0"/>
            <wp:positionH relativeFrom="column">
              <wp:posOffset>3541395</wp:posOffset>
            </wp:positionH>
            <wp:positionV relativeFrom="paragraph">
              <wp:posOffset>259715</wp:posOffset>
            </wp:positionV>
            <wp:extent cx="2607945" cy="1103630"/>
            <wp:effectExtent l="0" t="0" r="1905" b="1270"/>
            <wp:wrapNone/>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607945" cy="1103630"/>
                    </a:xfrm>
                    <a:prstGeom prst="rect">
                      <a:avLst/>
                    </a:prstGeom>
                    <a:noFill/>
                    <a:ln w="9525">
                      <a:noFill/>
                      <a:miter lim="800000"/>
                      <a:headEnd/>
                      <a:tailEnd/>
                    </a:ln>
                  </pic:spPr>
                </pic:pic>
              </a:graphicData>
            </a:graphic>
          </wp:anchor>
        </w:drawing>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【成立时间】2004年9月1日</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【地址】广州市南沙区</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【面积】占地面积187万m2建筑面积57万m</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【职员】10，800名</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广汽丰田秉承丰田数十年汽车制造之精义，引进全球最先进的生产设备和工艺，以建设“丰田全球模范工厂”为目标。将JIT应用于公司的整个生产经营过程中，实现了丰田独有的管理模式，确立“以人为本、造车育人”的理念，注重人才的育成和培养，打造以人为本的工作环境，培养能够领悟、推行和推广的丰田管理方式的人才。在生产管理上，更精心营造人与人之间的和谐氛围，用心构筑最具人性化的工厂，充分发挥人与科技完美结合的优势，真正实现科技服务与人，科技服务与工厂，科技创造利润的改革方针。</w:t>
      </w:r>
    </w:p>
    <w:p w:rsidR="00206827" w:rsidRDefault="00206827">
      <w:pPr>
        <w:tabs>
          <w:tab w:val="left" w:pos="420"/>
        </w:tabs>
        <w:spacing w:line="440" w:lineRule="exact"/>
        <w:ind w:firstLineChars="200" w:firstLine="480"/>
        <w:rPr>
          <w:rFonts w:asciiTheme="minorEastAsia" w:hAnsiTheme="minorEastAsia"/>
          <w:sz w:val="24"/>
        </w:rPr>
      </w:pPr>
    </w:p>
    <w:p w:rsidR="00206827" w:rsidRDefault="00C227BB">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课程收益</w:t>
      </w:r>
    </w:p>
    <w:p w:rsidR="00206827" w:rsidRDefault="00206827">
      <w:pPr>
        <w:tabs>
          <w:tab w:val="left" w:pos="420"/>
        </w:tabs>
        <w:spacing w:line="440" w:lineRule="exact"/>
        <w:ind w:firstLineChars="200" w:firstLine="480"/>
        <w:rPr>
          <w:rFonts w:asciiTheme="minorEastAsia" w:hAnsiTheme="minorEastAsia"/>
          <w:sz w:val="24"/>
        </w:rPr>
      </w:pP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 xml:space="preserve">现场提供 </w:t>
      </w:r>
      <w:r>
        <w:rPr>
          <w:rFonts w:asciiTheme="minorEastAsia" w:hAnsiTheme="minorEastAsia" w:hint="eastAsia"/>
          <w:color w:val="FF0000"/>
          <w:sz w:val="24"/>
        </w:rPr>
        <w:t xml:space="preserve">免费名额 </w:t>
      </w:r>
      <w:r>
        <w:rPr>
          <w:rFonts w:asciiTheme="minorEastAsia" w:hAnsiTheme="minorEastAsia" w:hint="eastAsia"/>
          <w:sz w:val="24"/>
        </w:rPr>
        <w:t>诊断，由老师对企业目前精益管理体系进行分析判断，</w:t>
      </w:r>
      <w:r>
        <w:rPr>
          <w:rFonts w:asciiTheme="minorEastAsia" w:hAnsiTheme="minorEastAsia" w:hint="eastAsia"/>
          <w:color w:val="FF0000"/>
          <w:sz w:val="24"/>
        </w:rPr>
        <w:t>提出存在的问题点及改善建议</w:t>
      </w:r>
      <w:r>
        <w:rPr>
          <w:rFonts w:asciiTheme="minorEastAsia" w:hAnsiTheme="minorEastAsia" w:hint="eastAsia"/>
          <w:sz w:val="24"/>
        </w:rPr>
        <w:t>，诊断活动流程：</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上课前布置</w:t>
      </w:r>
      <w:r>
        <w:rPr>
          <w:rFonts w:asciiTheme="minorEastAsia" w:hAnsiTheme="minorEastAsia" w:hint="eastAsia"/>
          <w:color w:val="FF0000"/>
          <w:sz w:val="24"/>
        </w:rPr>
        <w:t>免费诊断调查表</w:t>
      </w:r>
      <w:r>
        <w:rPr>
          <w:rFonts w:asciiTheme="minorEastAsia" w:hAnsiTheme="minorEastAsia" w:hint="eastAsia"/>
          <w:sz w:val="24"/>
        </w:rPr>
        <w:t>：（有意参加诊断的企业，请在参课前收集好调研资料，提供企业设备管理组织架构、职责分工，核心指标推移，现状问题等资料，一家公司请携带一部电脑和U盘）；通过现场分享和老师的建议，免费</w:t>
      </w:r>
      <w:r>
        <w:rPr>
          <w:rFonts w:asciiTheme="minorEastAsia" w:hAnsiTheme="minorEastAsia" w:hint="eastAsia"/>
          <w:color w:val="FF0000"/>
          <w:sz w:val="24"/>
        </w:rPr>
        <w:t>理清企业的问题点和改善建议</w:t>
      </w:r>
      <w:r>
        <w:rPr>
          <w:rFonts w:asciiTheme="minorEastAsia" w:hAnsiTheme="minorEastAsia" w:hint="eastAsia"/>
          <w:sz w:val="24"/>
        </w:rPr>
        <w:t>，低投入高回报的方式为企业创造更多的价值。</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第二天下午由企业参学者代表发表企业产精益生产组织、职能职责、管理表单及自身的困惑点，由老师</w:t>
      </w:r>
      <w:r>
        <w:rPr>
          <w:rFonts w:asciiTheme="minorEastAsia" w:hAnsiTheme="minorEastAsia" w:hint="eastAsia"/>
          <w:color w:val="FF0000"/>
          <w:sz w:val="24"/>
        </w:rPr>
        <w:t>现场诊断点评并布置课后改善任务</w:t>
      </w:r>
      <w:r>
        <w:rPr>
          <w:rFonts w:asciiTheme="minorEastAsia" w:hAnsiTheme="minorEastAsia" w:hint="eastAsia"/>
          <w:sz w:val="24"/>
        </w:rPr>
        <w:t>；</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lastRenderedPageBreak/>
        <w:t>3.</w:t>
      </w:r>
      <w:r>
        <w:rPr>
          <w:rFonts w:asciiTheme="minorEastAsia" w:hAnsiTheme="minorEastAsia" w:hint="eastAsia"/>
          <w:sz w:val="24"/>
        </w:rPr>
        <w:tab/>
        <w:t>课后由企业高管带领部门主管及相关人员制定PDCA改善方案，推行过程中老师</w:t>
      </w:r>
      <w:r>
        <w:rPr>
          <w:rFonts w:asciiTheme="minorEastAsia" w:hAnsiTheme="minorEastAsia" w:hint="eastAsia"/>
          <w:color w:val="FF0000"/>
          <w:sz w:val="24"/>
        </w:rPr>
        <w:t>无偿线上指导</w:t>
      </w:r>
      <w:r>
        <w:rPr>
          <w:rFonts w:asciiTheme="minorEastAsia" w:hAnsiTheme="minorEastAsia" w:hint="eastAsia"/>
          <w:sz w:val="24"/>
        </w:rPr>
        <w:t>。</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ab/>
        <w:t>内部改善不成功的企业，老师提供</w:t>
      </w:r>
      <w:r>
        <w:rPr>
          <w:rFonts w:asciiTheme="minorEastAsia" w:hAnsiTheme="minorEastAsia" w:hint="eastAsia"/>
          <w:color w:val="FF0000"/>
          <w:sz w:val="24"/>
        </w:rPr>
        <w:t>免费现场诊断</w:t>
      </w:r>
      <w:r>
        <w:rPr>
          <w:rFonts w:asciiTheme="minorEastAsia" w:hAnsiTheme="minorEastAsia" w:hint="eastAsia"/>
          <w:sz w:val="24"/>
        </w:rPr>
        <w:t>的线下服务。</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ab/>
        <w:t>签订项目合作协议的企业可以</w:t>
      </w:r>
      <w:r>
        <w:rPr>
          <w:rFonts w:asciiTheme="minorEastAsia" w:hAnsiTheme="minorEastAsia" w:hint="eastAsia"/>
          <w:color w:val="FF0000"/>
          <w:sz w:val="24"/>
        </w:rPr>
        <w:t>免费参加老师辅导企业</w:t>
      </w:r>
      <w:r>
        <w:rPr>
          <w:rFonts w:asciiTheme="minorEastAsia" w:hAnsiTheme="minorEastAsia" w:hint="eastAsia"/>
          <w:sz w:val="24"/>
        </w:rPr>
        <w:t>的现场参访交流学习的名额。</w:t>
      </w:r>
    </w:p>
    <w:p w:rsidR="00206827" w:rsidRDefault="00206827">
      <w:pPr>
        <w:tabs>
          <w:tab w:val="left" w:pos="420"/>
        </w:tabs>
        <w:spacing w:line="440" w:lineRule="exact"/>
        <w:ind w:firstLineChars="200" w:firstLine="480"/>
        <w:rPr>
          <w:rFonts w:asciiTheme="minorEastAsia" w:hAnsiTheme="minorEastAsia"/>
          <w:sz w:val="24"/>
        </w:rPr>
      </w:pPr>
    </w:p>
    <w:p w:rsidR="00206827" w:rsidRDefault="00206827">
      <w:pPr>
        <w:tabs>
          <w:tab w:val="left" w:pos="420"/>
        </w:tabs>
        <w:spacing w:line="440" w:lineRule="exact"/>
        <w:ind w:firstLineChars="200" w:firstLine="480"/>
        <w:rPr>
          <w:rFonts w:asciiTheme="minorEastAsia" w:hAnsiTheme="minorEastAsia"/>
          <w:sz w:val="24"/>
        </w:rPr>
      </w:pPr>
    </w:p>
    <w:p w:rsidR="00206827" w:rsidRDefault="00206827">
      <w:pPr>
        <w:tabs>
          <w:tab w:val="left" w:pos="420"/>
        </w:tabs>
        <w:spacing w:line="440" w:lineRule="exact"/>
        <w:ind w:firstLineChars="200" w:firstLine="480"/>
        <w:rPr>
          <w:rFonts w:asciiTheme="minorEastAsia" w:hAnsiTheme="minorEastAsia"/>
          <w:sz w:val="24"/>
        </w:rPr>
      </w:pPr>
    </w:p>
    <w:p w:rsidR="00206827" w:rsidRDefault="00C227BB">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课程大纲</w:t>
      </w:r>
    </w:p>
    <w:p w:rsidR="00206827" w:rsidRDefault="00206827">
      <w:pPr>
        <w:tabs>
          <w:tab w:val="left" w:pos="420"/>
        </w:tabs>
        <w:spacing w:line="440" w:lineRule="exact"/>
        <w:ind w:firstLineChars="200" w:firstLine="480"/>
        <w:rPr>
          <w:rFonts w:asciiTheme="minorEastAsia" w:hAnsiTheme="minorEastAsia"/>
          <w:sz w:val="24"/>
        </w:rPr>
      </w:pPr>
    </w:p>
    <w:p w:rsidR="00206827" w:rsidRDefault="00C227BB">
      <w:pPr>
        <w:tabs>
          <w:tab w:val="left" w:pos="420"/>
        </w:tabs>
        <w:spacing w:line="440" w:lineRule="exact"/>
        <w:ind w:firstLineChars="200" w:firstLine="482"/>
        <w:rPr>
          <w:rFonts w:asciiTheme="minorEastAsia" w:hAnsiTheme="minorEastAsia"/>
          <w:b/>
          <w:bCs/>
          <w:sz w:val="24"/>
        </w:rPr>
      </w:pPr>
      <w:r>
        <w:rPr>
          <w:rFonts w:asciiTheme="minorEastAsia" w:hAnsiTheme="minorEastAsia" w:hint="eastAsia"/>
          <w:b/>
          <w:bCs/>
          <w:sz w:val="24"/>
        </w:rPr>
        <w:t>第一章</w:t>
      </w:r>
      <w:r>
        <w:rPr>
          <w:rFonts w:asciiTheme="minorEastAsia" w:hAnsiTheme="minorEastAsia" w:hint="eastAsia"/>
          <w:b/>
          <w:bCs/>
          <w:sz w:val="24"/>
        </w:rPr>
        <w:tab/>
        <w:t>精益管理的导入</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 xml:space="preserve">第一节：精益生产的本质及发展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 精益生产的起源和发展</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 xml:space="preserve">企业危机意识管理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世界制造业生产运营管理系统的发展与变革</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 xml:space="preserve">精益生产的起源——丰田生产方式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ab/>
        <w:t>全世界为何要学习丰田的管理模式</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ab/>
        <w:t>从精益生产到精益管理的发展之路</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6.</w:t>
      </w:r>
      <w:r>
        <w:rPr>
          <w:rFonts w:asciiTheme="minorEastAsia" w:hAnsiTheme="minorEastAsia" w:hint="eastAsia"/>
          <w:sz w:val="24"/>
        </w:rPr>
        <w:tab/>
        <w:t xml:space="preserve">观看视频—丰田精益生产的起源与发展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7.</w:t>
      </w:r>
      <w:r>
        <w:rPr>
          <w:rFonts w:asciiTheme="minorEastAsia" w:hAnsiTheme="minorEastAsia" w:hint="eastAsia"/>
          <w:sz w:val="24"/>
        </w:rPr>
        <w:tab/>
        <w:t>观看视频—企业的变革之路</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 精益生产的本质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在安全生产的基础上，全面降低生产成本</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丰田生产方式的改善之道—全面识别浪费，杜绝不良的重复发生</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丰田现场的管理模式---“五GEN”真凭实据的追踪管理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 xml:space="preserve">◆ TPS之屋，丰田生产方式体系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丰田生产方式系统</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 xml:space="preserve">丰田的TPS发展之路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丰田TPS变革的改善秘诀</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ab/>
        <w:t>丰田TPS生产管理模式视频分享与解说</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第二节：精益生产成功的根源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 xml:space="preserve">日本企业为何能持续发展的根本原因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lastRenderedPageBreak/>
        <w:t>2.</w:t>
      </w:r>
      <w:r>
        <w:rPr>
          <w:rFonts w:asciiTheme="minorEastAsia" w:hAnsiTheme="minorEastAsia" w:hint="eastAsia"/>
          <w:sz w:val="24"/>
        </w:rPr>
        <w:tab/>
        <w:t>精益生产为什么在中国难成功的原因分析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 xml:space="preserve">中国企业精益生产的成功之路      </w:t>
      </w:r>
    </w:p>
    <w:p w:rsidR="00206827" w:rsidRDefault="00C227BB">
      <w:pPr>
        <w:tabs>
          <w:tab w:val="left" w:pos="420"/>
        </w:tabs>
        <w:spacing w:line="440" w:lineRule="exact"/>
        <w:ind w:firstLineChars="200" w:firstLine="482"/>
        <w:rPr>
          <w:rFonts w:asciiTheme="minorEastAsia" w:hAnsiTheme="minorEastAsia"/>
          <w:b/>
          <w:bCs/>
          <w:sz w:val="24"/>
        </w:rPr>
      </w:pPr>
      <w:r>
        <w:rPr>
          <w:rFonts w:asciiTheme="minorEastAsia" w:hAnsiTheme="minorEastAsia" w:hint="eastAsia"/>
          <w:b/>
          <w:bCs/>
          <w:sz w:val="24"/>
        </w:rPr>
        <w:t>第二章</w:t>
      </w:r>
      <w:r>
        <w:rPr>
          <w:rFonts w:asciiTheme="minorEastAsia" w:hAnsiTheme="minorEastAsia" w:hint="eastAsia"/>
          <w:b/>
          <w:bCs/>
          <w:sz w:val="24"/>
        </w:rPr>
        <w:tab/>
        <w:t>VSM精益价值流优化，全面降低成本管理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精益价值流分析的基本原则</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精益价值流的分类</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VSM价值流分析通常采用的手段及工具的运用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w:t>
      </w:r>
      <w:r>
        <w:rPr>
          <w:rFonts w:asciiTheme="minorEastAsia" w:hAnsiTheme="minorEastAsia" w:hint="eastAsia"/>
          <w:sz w:val="24"/>
        </w:rPr>
        <w:tab/>
        <w:t>八大浪费五大损失识别浪费</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w:t>
      </w:r>
      <w:r>
        <w:rPr>
          <w:rFonts w:asciiTheme="minorEastAsia" w:hAnsiTheme="minorEastAsia" w:hint="eastAsia"/>
          <w:sz w:val="24"/>
        </w:rPr>
        <w:tab/>
        <w:t>5S 5W2H视点挖掘浪费</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w:t>
      </w:r>
      <w:r>
        <w:rPr>
          <w:rFonts w:asciiTheme="minorEastAsia" w:hAnsiTheme="minorEastAsia" w:hint="eastAsia"/>
          <w:sz w:val="24"/>
        </w:rPr>
        <w:tab/>
        <w:t>6M1E的视点挖掘浪费</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④</w:t>
      </w:r>
      <w:r>
        <w:rPr>
          <w:rFonts w:asciiTheme="minorEastAsia" w:hAnsiTheme="minorEastAsia" w:hint="eastAsia"/>
          <w:sz w:val="24"/>
        </w:rPr>
        <w:tab/>
        <w:t>IE手法挖掘浪费</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⑤</w:t>
      </w:r>
      <w:r>
        <w:rPr>
          <w:rFonts w:asciiTheme="minorEastAsia" w:hAnsiTheme="minorEastAsia" w:hint="eastAsia"/>
          <w:sz w:val="24"/>
        </w:rPr>
        <w:tab/>
        <w:t xml:space="preserve">精益 vs.六个西格玛挖掘浪费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⑥</w:t>
      </w:r>
      <w:r>
        <w:rPr>
          <w:rFonts w:asciiTheme="minorEastAsia" w:hAnsiTheme="minorEastAsia" w:hint="eastAsia"/>
          <w:sz w:val="24"/>
        </w:rPr>
        <w:tab/>
        <w:t xml:space="preserve">Lean Production改善挖掘浪费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⑦</w:t>
      </w:r>
      <w:r>
        <w:rPr>
          <w:rFonts w:asciiTheme="minorEastAsia" w:hAnsiTheme="minorEastAsia" w:hint="eastAsia"/>
          <w:sz w:val="24"/>
        </w:rPr>
        <w:tab/>
        <w:t>现状把握与分析的方法运用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ab/>
        <w:t>总价值流分析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w:t>
      </w:r>
      <w:r>
        <w:rPr>
          <w:rFonts w:asciiTheme="minorEastAsia" w:hAnsiTheme="minorEastAsia" w:hint="eastAsia"/>
          <w:sz w:val="24"/>
        </w:rPr>
        <w:tab/>
        <w:t>事务流分析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w:t>
      </w:r>
      <w:r>
        <w:rPr>
          <w:rFonts w:asciiTheme="minorEastAsia" w:hAnsiTheme="minorEastAsia" w:hint="eastAsia"/>
          <w:sz w:val="24"/>
        </w:rPr>
        <w:tab/>
        <w:t>产品流分析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w:t>
      </w:r>
      <w:r>
        <w:rPr>
          <w:rFonts w:asciiTheme="minorEastAsia" w:hAnsiTheme="minorEastAsia" w:hint="eastAsia"/>
          <w:sz w:val="24"/>
        </w:rPr>
        <w:tab/>
        <w:t>资金流分析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ab/>
        <w:t>事务流优化，进行并行生产管理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w:t>
      </w:r>
      <w:r>
        <w:rPr>
          <w:rFonts w:asciiTheme="minorEastAsia" w:hAnsiTheme="minorEastAsia" w:hint="eastAsia"/>
          <w:sz w:val="24"/>
        </w:rPr>
        <w:tab/>
        <w:t>建立流程的路径</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w:t>
      </w:r>
      <w:r>
        <w:rPr>
          <w:rFonts w:asciiTheme="minorEastAsia" w:hAnsiTheme="minorEastAsia" w:hint="eastAsia"/>
          <w:sz w:val="24"/>
        </w:rPr>
        <w:tab/>
        <w:t>建立关键流程步骤</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w:t>
      </w:r>
      <w:r>
        <w:rPr>
          <w:rFonts w:asciiTheme="minorEastAsia" w:hAnsiTheme="minorEastAsia" w:hint="eastAsia"/>
          <w:sz w:val="24"/>
        </w:rPr>
        <w:tab/>
        <w:t>明确部门间事务流程步骤及处理时间</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④</w:t>
      </w:r>
      <w:r>
        <w:rPr>
          <w:rFonts w:asciiTheme="minorEastAsia" w:hAnsiTheme="minorEastAsia" w:hint="eastAsia"/>
          <w:sz w:val="24"/>
        </w:rPr>
        <w:tab/>
        <w:t>识别部门间的浪费</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⑤</w:t>
      </w:r>
      <w:r>
        <w:rPr>
          <w:rFonts w:asciiTheme="minorEastAsia" w:hAnsiTheme="minorEastAsia" w:hint="eastAsia"/>
          <w:sz w:val="24"/>
        </w:rPr>
        <w:tab/>
        <w:t>挖掘部门间事务不畅的根本病源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⑥</w:t>
      </w:r>
      <w:r>
        <w:rPr>
          <w:rFonts w:asciiTheme="minorEastAsia" w:hAnsiTheme="minorEastAsia" w:hint="eastAsia"/>
          <w:sz w:val="24"/>
        </w:rPr>
        <w:tab/>
        <w:t>杜绝处理和等待的时间浪费</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⑦</w:t>
      </w:r>
      <w:r>
        <w:rPr>
          <w:rFonts w:asciiTheme="minorEastAsia" w:hAnsiTheme="minorEastAsia" w:hint="eastAsia"/>
          <w:sz w:val="24"/>
        </w:rPr>
        <w:tab/>
        <w:t>识别部门内的浪费</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⑧</w:t>
      </w:r>
      <w:r>
        <w:rPr>
          <w:rFonts w:asciiTheme="minorEastAsia" w:hAnsiTheme="minorEastAsia" w:hint="eastAsia"/>
          <w:sz w:val="24"/>
        </w:rPr>
        <w:tab/>
        <w:t>对事务流程进行LEAN改善</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⑨</w:t>
      </w:r>
      <w:r>
        <w:rPr>
          <w:rFonts w:asciiTheme="minorEastAsia" w:hAnsiTheme="minorEastAsia" w:hint="eastAsia"/>
          <w:sz w:val="24"/>
        </w:rPr>
        <w:tab/>
        <w:t>如何利用“牛皮纸分析法”排除事务浪费</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⑩</w:t>
      </w:r>
      <w:r>
        <w:rPr>
          <w:rFonts w:asciiTheme="minorEastAsia" w:hAnsiTheme="minorEastAsia" w:hint="eastAsia"/>
          <w:sz w:val="24"/>
        </w:rPr>
        <w:tab/>
        <w:t>OA系统到ERP系统的JDK自动录入系统管理</w:t>
      </w:r>
    </w:p>
    <w:p w:rsidR="00206827" w:rsidRDefault="00C227BB">
      <w:pPr>
        <w:tabs>
          <w:tab w:val="left" w:pos="420"/>
        </w:tabs>
        <w:spacing w:line="440" w:lineRule="exact"/>
        <w:ind w:firstLineChars="200" w:firstLine="480"/>
        <w:rPr>
          <w:rFonts w:asciiTheme="minorEastAsia" w:hAnsiTheme="minorEastAsia"/>
          <w:sz w:val="24"/>
        </w:rPr>
      </w:pPr>
      <w:r>
        <w:rPr>
          <w:rFonts w:ascii="Cambria Math" w:hAnsi="Cambria Math" w:cs="Cambria Math"/>
          <w:sz w:val="24"/>
        </w:rPr>
        <w:t>⑪</w:t>
      </w:r>
      <w:r>
        <w:rPr>
          <w:rFonts w:asciiTheme="minorEastAsia" w:hAnsiTheme="minorEastAsia"/>
          <w:sz w:val="24"/>
        </w:rPr>
        <w:tab/>
        <w:t>Lean Before OR Lean After</w:t>
      </w:r>
      <w:r>
        <w:rPr>
          <w:rFonts w:asciiTheme="minorEastAsia" w:hAnsiTheme="minorEastAsia" w:hint="eastAsia"/>
          <w:sz w:val="24"/>
        </w:rPr>
        <w:t>改善效果比较</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6.</w:t>
      </w:r>
      <w:r>
        <w:rPr>
          <w:rFonts w:asciiTheme="minorEastAsia" w:hAnsiTheme="minorEastAsia" w:hint="eastAsia"/>
          <w:sz w:val="24"/>
        </w:rPr>
        <w:tab/>
        <w:t>产品流程优化，进行同步管理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6.1）提升产品价值流效率的改善路径规划</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lastRenderedPageBreak/>
        <w:t>6.2）工位平衡率如何设计与控制管理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6.3）负荷产能的设计与控制管理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6.4）TAKT的设计与控制管理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（1）从结构布局上优化，排除浪费，提升效率</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 流程结构布局优化</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 纵横管理结构优化</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 单元结构的优化</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④ 自律神经结构的优化</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⑤ L/T改善（one piece flow）</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⑥ 把握现状设定中长期规划管理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⑦</w:t>
      </w:r>
      <w:r>
        <w:rPr>
          <w:rFonts w:asciiTheme="minorEastAsia" w:hAnsiTheme="minorEastAsia" w:hint="eastAsia"/>
          <w:sz w:val="24"/>
        </w:rPr>
        <w:tab/>
        <w:t>从供应商到客户的流程信息跟踪管理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 xml:space="preserve">（2）从工程内部改善浪费，提高效率 </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 加工方式的改善</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 检查方式的改善</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 搬运方式的改善</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④ 停滞的消减改善</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⑤ 直通率的提升改善</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⑥</w:t>
      </w:r>
      <w:r>
        <w:rPr>
          <w:rFonts w:asciiTheme="minorEastAsia" w:hAnsiTheme="minorEastAsia" w:hint="eastAsia"/>
          <w:sz w:val="24"/>
        </w:rPr>
        <w:tab/>
        <w:t>丰田精益改善视频---快滑条的使用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（3）从从作业上减少浪费，快速提高生产效率</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w:t>
      </w:r>
      <w:r>
        <w:rPr>
          <w:rFonts w:asciiTheme="minorEastAsia" w:hAnsiTheme="minorEastAsia" w:hint="eastAsia"/>
          <w:sz w:val="24"/>
        </w:rPr>
        <w:tab/>
        <w:t>经济动作5原则分析与运用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w:t>
      </w:r>
      <w:r>
        <w:rPr>
          <w:rFonts w:asciiTheme="minorEastAsia" w:hAnsiTheme="minorEastAsia" w:hint="eastAsia"/>
          <w:sz w:val="24"/>
        </w:rPr>
        <w:tab/>
        <w:t>提高效率的7大改善手法的分析与运用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w:t>
      </w:r>
      <w:r>
        <w:rPr>
          <w:rFonts w:asciiTheme="minorEastAsia" w:hAnsiTheme="minorEastAsia" w:hint="eastAsia"/>
          <w:sz w:val="24"/>
        </w:rPr>
        <w:tab/>
        <w:t>JTKN人体机能法快速发现异常</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④</w:t>
      </w:r>
      <w:r>
        <w:rPr>
          <w:rFonts w:asciiTheme="minorEastAsia" w:hAnsiTheme="minorEastAsia" w:hint="eastAsia"/>
          <w:sz w:val="24"/>
        </w:rPr>
        <w:tab/>
        <w:t>KYT预防预知管理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⑤</w:t>
      </w:r>
      <w:r>
        <w:rPr>
          <w:rFonts w:asciiTheme="minorEastAsia" w:hAnsiTheme="minorEastAsia" w:hint="eastAsia"/>
          <w:sz w:val="24"/>
        </w:rPr>
        <w:tab/>
        <w:t>ANTON管理快速应对异常发生</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（4）TQM品质过程全面控制管理，杜绝不良的产生与流出</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 自检</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 互检（CORSS）</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 专检</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④</w:t>
      </w:r>
      <w:r>
        <w:rPr>
          <w:rFonts w:asciiTheme="minorEastAsia" w:hAnsiTheme="minorEastAsia" w:hint="eastAsia"/>
          <w:sz w:val="24"/>
        </w:rPr>
        <w:tab/>
        <w:t>JDK自动化监测系统的运用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⑤“四不”不良过程控制管理，生产完就出货的管理模式</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⑥</w:t>
      </w:r>
      <w:r>
        <w:rPr>
          <w:rFonts w:asciiTheme="minorEastAsia" w:hAnsiTheme="minorEastAsia" w:hint="eastAsia"/>
          <w:sz w:val="24"/>
        </w:rPr>
        <w:tab/>
        <w:t>丰田与通用数据的对比管理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lastRenderedPageBreak/>
        <w:t>7.</w:t>
      </w:r>
      <w:r>
        <w:rPr>
          <w:rFonts w:asciiTheme="minorEastAsia" w:hAnsiTheme="minorEastAsia" w:hint="eastAsia"/>
          <w:sz w:val="24"/>
        </w:rPr>
        <w:tab/>
        <w:t>持续改善，精益求精，追求卓越</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8.</w:t>
      </w:r>
      <w:r>
        <w:rPr>
          <w:rFonts w:asciiTheme="minorEastAsia" w:hAnsiTheme="minorEastAsia" w:hint="eastAsia"/>
          <w:sz w:val="24"/>
        </w:rPr>
        <w:tab/>
        <w:t>案例：</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w:t>
      </w:r>
      <w:r>
        <w:rPr>
          <w:rFonts w:asciiTheme="minorEastAsia" w:hAnsiTheme="minorEastAsia" w:hint="eastAsia"/>
          <w:sz w:val="24"/>
        </w:rPr>
        <w:tab/>
        <w:t>新工厂的精益布局与投产案例分析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w:t>
      </w:r>
      <w:r>
        <w:rPr>
          <w:rFonts w:asciiTheme="minorEastAsia" w:hAnsiTheme="minorEastAsia" w:hint="eastAsia"/>
          <w:sz w:val="24"/>
        </w:rPr>
        <w:tab/>
        <w:t>IMS &amp; SMT美英合资企业改善案例分享</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w:t>
      </w:r>
      <w:r>
        <w:rPr>
          <w:rFonts w:asciiTheme="minorEastAsia" w:hAnsiTheme="minorEastAsia" w:hint="eastAsia"/>
          <w:sz w:val="24"/>
        </w:rPr>
        <w:tab/>
        <w:t>安全生产管理的再现性实验视频教育</w:t>
      </w:r>
    </w:p>
    <w:p w:rsidR="00206827" w:rsidRDefault="00C227BB">
      <w:pPr>
        <w:tabs>
          <w:tab w:val="left" w:pos="420"/>
        </w:tabs>
        <w:spacing w:line="440" w:lineRule="exact"/>
        <w:ind w:firstLineChars="200" w:firstLine="482"/>
        <w:rPr>
          <w:rFonts w:asciiTheme="minorEastAsia" w:hAnsiTheme="minorEastAsia"/>
          <w:b/>
          <w:bCs/>
          <w:sz w:val="24"/>
        </w:rPr>
      </w:pPr>
      <w:r>
        <w:rPr>
          <w:rFonts w:asciiTheme="minorEastAsia" w:hAnsiTheme="minorEastAsia" w:hint="eastAsia"/>
          <w:b/>
          <w:bCs/>
          <w:sz w:val="24"/>
        </w:rPr>
        <w:t>第三章</w:t>
      </w:r>
      <w:r>
        <w:rPr>
          <w:rFonts w:asciiTheme="minorEastAsia" w:hAnsiTheme="minorEastAsia" w:hint="eastAsia"/>
          <w:b/>
          <w:bCs/>
          <w:sz w:val="24"/>
        </w:rPr>
        <w:tab/>
        <w:t>以人为本、造车先育人</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ab/>
        <w:t>素养--- 系统培训，遵守规定照做，养成团队协同作战的意识习惯</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ab/>
        <w:t>人员职业生涯规划系统管理9级27阶71步</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6.</w:t>
      </w:r>
      <w:r>
        <w:rPr>
          <w:rFonts w:asciiTheme="minorEastAsia" w:hAnsiTheme="minorEastAsia" w:hint="eastAsia"/>
          <w:sz w:val="24"/>
        </w:rPr>
        <w:tab/>
        <w:t>新进人员的3级教育管理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7.</w:t>
      </w:r>
      <w:r>
        <w:rPr>
          <w:rFonts w:asciiTheme="minorEastAsia" w:hAnsiTheme="minorEastAsia" w:hint="eastAsia"/>
          <w:sz w:val="24"/>
        </w:rPr>
        <w:tab/>
        <w:t>确保品质的定期教育</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8.</w:t>
      </w:r>
      <w:r>
        <w:rPr>
          <w:rFonts w:asciiTheme="minorEastAsia" w:hAnsiTheme="minorEastAsia" w:hint="eastAsia"/>
          <w:sz w:val="24"/>
        </w:rPr>
        <w:tab/>
        <w:t>熟练度提升的定期教育</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9.</w:t>
      </w:r>
      <w:r>
        <w:rPr>
          <w:rFonts w:asciiTheme="minorEastAsia" w:hAnsiTheme="minorEastAsia" w:hint="eastAsia"/>
          <w:sz w:val="24"/>
        </w:rPr>
        <w:tab/>
        <w:t>提升技能级别的定期教育</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10. 岗位多能工的中长期规划教育</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11. 岗位人员的5种再教育</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12. 提高团队人员工作效率的战略管理模式</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13. 建立意识变革的秘诀</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14. 如何提高现场执行力的秘诀</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15. 人员教育系统成果的运用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16. 案例1：安定人员，提高工作效率的视频分享</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17. 案例2：PEC产业教育中心如何对中高层管理者进行培训</w:t>
      </w:r>
    </w:p>
    <w:p w:rsidR="00206827" w:rsidRDefault="00C227BB">
      <w:pPr>
        <w:tabs>
          <w:tab w:val="left" w:pos="420"/>
        </w:tabs>
        <w:spacing w:line="440" w:lineRule="exact"/>
        <w:ind w:firstLineChars="200" w:firstLine="482"/>
        <w:rPr>
          <w:rFonts w:asciiTheme="minorEastAsia" w:hAnsiTheme="minorEastAsia"/>
          <w:b/>
          <w:bCs/>
          <w:sz w:val="24"/>
        </w:rPr>
      </w:pPr>
      <w:r>
        <w:rPr>
          <w:rFonts w:asciiTheme="minorEastAsia" w:hAnsiTheme="minorEastAsia" w:hint="eastAsia"/>
          <w:b/>
          <w:bCs/>
          <w:sz w:val="24"/>
        </w:rPr>
        <w:t>第四章</w:t>
      </w:r>
      <w:r>
        <w:rPr>
          <w:rFonts w:asciiTheme="minorEastAsia" w:hAnsiTheme="minorEastAsia" w:hint="eastAsia"/>
          <w:b/>
          <w:bCs/>
          <w:sz w:val="24"/>
        </w:rPr>
        <w:tab/>
        <w:t>现场问题改善工具--- 一目了然的管理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红牌作战</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统计看板（一目了然化）</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按灯管理（ANTON）</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ab/>
        <w:t>操作流程图（SOP）</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ab/>
        <w:t>反面教材</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6.</w:t>
      </w:r>
      <w:r>
        <w:rPr>
          <w:rFonts w:asciiTheme="minorEastAsia" w:hAnsiTheme="minorEastAsia" w:hint="eastAsia"/>
          <w:sz w:val="24"/>
        </w:rPr>
        <w:tab/>
        <w:t>提醒板</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7.</w:t>
      </w:r>
      <w:r>
        <w:rPr>
          <w:rFonts w:asciiTheme="minorEastAsia" w:hAnsiTheme="minorEastAsia" w:hint="eastAsia"/>
          <w:sz w:val="24"/>
        </w:rPr>
        <w:tab/>
        <w:t>区分线</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8.</w:t>
      </w:r>
      <w:r>
        <w:rPr>
          <w:rFonts w:asciiTheme="minorEastAsia" w:hAnsiTheme="minorEastAsia" w:hint="eastAsia"/>
          <w:sz w:val="24"/>
        </w:rPr>
        <w:tab/>
        <w:t>警示线</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9.</w:t>
      </w:r>
      <w:r>
        <w:rPr>
          <w:rFonts w:asciiTheme="minorEastAsia" w:hAnsiTheme="minorEastAsia" w:hint="eastAsia"/>
          <w:sz w:val="24"/>
        </w:rPr>
        <w:tab/>
        <w:t>告示板</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10. 生产责任管理看板</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lastRenderedPageBreak/>
        <w:t>11. 职员优缺点苹果树揭示管理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12. 现场班组文化园地的建设管理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13. 企业文化墙的规划管理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14. 案例1：KANBAN的编写与制作视频案例分享</w:t>
      </w:r>
    </w:p>
    <w:p w:rsidR="00206827" w:rsidRDefault="00C227BB">
      <w:pPr>
        <w:tabs>
          <w:tab w:val="left" w:pos="420"/>
        </w:tabs>
        <w:spacing w:line="440" w:lineRule="exact"/>
        <w:ind w:firstLineChars="200" w:firstLine="482"/>
        <w:rPr>
          <w:rFonts w:asciiTheme="minorEastAsia" w:hAnsiTheme="minorEastAsia"/>
          <w:b/>
          <w:bCs/>
          <w:sz w:val="24"/>
        </w:rPr>
      </w:pPr>
      <w:r>
        <w:rPr>
          <w:rFonts w:asciiTheme="minorEastAsia" w:hAnsiTheme="minorEastAsia" w:hint="eastAsia"/>
          <w:b/>
          <w:bCs/>
          <w:sz w:val="24"/>
        </w:rPr>
        <w:t>第五章</w:t>
      </w:r>
      <w:r>
        <w:rPr>
          <w:rFonts w:asciiTheme="minorEastAsia" w:hAnsiTheme="minorEastAsia" w:hint="eastAsia"/>
          <w:b/>
          <w:bCs/>
          <w:sz w:val="24"/>
        </w:rPr>
        <w:tab/>
        <w:t>标杆企业现场参观考察前的看点说明</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参观广汽丰田 （丰田21世纪海外模范工厂）</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看点1：</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w:t>
      </w:r>
      <w:r>
        <w:rPr>
          <w:rFonts w:asciiTheme="minorEastAsia" w:hAnsiTheme="minorEastAsia" w:hint="eastAsia"/>
          <w:sz w:val="24"/>
        </w:rPr>
        <w:tab/>
        <w:t>以人为本的工作环境,三位一体的品质体系；</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w:t>
      </w:r>
      <w:r>
        <w:rPr>
          <w:rFonts w:asciiTheme="minorEastAsia" w:hAnsiTheme="minorEastAsia" w:hint="eastAsia"/>
          <w:sz w:val="24"/>
        </w:rPr>
        <w:tab/>
        <w:t>Kanban(看板)从销售→采购→生产的整个流程中的运用；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w:t>
      </w:r>
      <w:r>
        <w:rPr>
          <w:rFonts w:asciiTheme="minorEastAsia" w:hAnsiTheme="minorEastAsia" w:hint="eastAsia"/>
          <w:sz w:val="24"/>
        </w:rPr>
        <w:tab/>
        <w:t>企业文化墙的设计与运用</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④</w:t>
      </w:r>
      <w:r>
        <w:rPr>
          <w:rFonts w:asciiTheme="minorEastAsia" w:hAnsiTheme="minorEastAsia" w:hint="eastAsia"/>
          <w:sz w:val="24"/>
        </w:rPr>
        <w:tab/>
        <w:t>世界一流的目视化管理现场的建设；</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⑤</w:t>
      </w:r>
      <w:r>
        <w:rPr>
          <w:rFonts w:asciiTheme="minorEastAsia" w:hAnsiTheme="minorEastAsia" w:hint="eastAsia"/>
          <w:sz w:val="24"/>
        </w:rPr>
        <w:tab/>
        <w:t>先进的SPS（Set Parts System）单台供件移动式物流模式。</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⑥</w:t>
      </w:r>
      <w:r>
        <w:rPr>
          <w:rFonts w:asciiTheme="minorEastAsia" w:hAnsiTheme="minorEastAsia" w:hint="eastAsia"/>
          <w:sz w:val="24"/>
        </w:rPr>
        <w:tab/>
        <w:t>完全平准化混流的拉动式高柔性生产线；</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⑦</w:t>
      </w:r>
      <w:r>
        <w:rPr>
          <w:rFonts w:asciiTheme="minorEastAsia" w:hAnsiTheme="minorEastAsia" w:hint="eastAsia"/>
          <w:sz w:val="24"/>
        </w:rPr>
        <w:tab/>
        <w:t>现场异常快速处理系统---ANTON（按灯）管理系统</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看点2：</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①</w:t>
      </w:r>
      <w:r>
        <w:rPr>
          <w:rFonts w:asciiTheme="minorEastAsia" w:hAnsiTheme="minorEastAsia" w:hint="eastAsia"/>
          <w:sz w:val="24"/>
        </w:rPr>
        <w:tab/>
        <w:t>安全通道、参观通道及作业通道的设计。</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②</w:t>
      </w:r>
      <w:r>
        <w:rPr>
          <w:rFonts w:asciiTheme="minorEastAsia" w:hAnsiTheme="minorEastAsia" w:hint="eastAsia"/>
          <w:sz w:val="24"/>
        </w:rPr>
        <w:tab/>
        <w:t>安全生产现场的揭示管理</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③</w:t>
      </w:r>
      <w:r>
        <w:rPr>
          <w:rFonts w:asciiTheme="minorEastAsia" w:hAnsiTheme="minorEastAsia" w:hint="eastAsia"/>
          <w:sz w:val="24"/>
        </w:rPr>
        <w:tab/>
        <w:t>精益思想在销售、售后服务、维修中的应用体现；</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④</w:t>
      </w:r>
      <w:r>
        <w:rPr>
          <w:rFonts w:asciiTheme="minorEastAsia" w:hAnsiTheme="minorEastAsia" w:hint="eastAsia"/>
          <w:sz w:val="24"/>
        </w:rPr>
        <w:tab/>
        <w:t>行业最先进的硬件设备及管理系统；</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⑤</w:t>
      </w:r>
      <w:r>
        <w:rPr>
          <w:rFonts w:asciiTheme="minorEastAsia" w:hAnsiTheme="minorEastAsia" w:hint="eastAsia"/>
          <w:sz w:val="24"/>
        </w:rPr>
        <w:tab/>
        <w:t>全球首块销售SPM看板、售后CS看板；</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⑥</w:t>
      </w:r>
      <w:r>
        <w:rPr>
          <w:rFonts w:asciiTheme="minorEastAsia" w:hAnsiTheme="minorEastAsia" w:hint="eastAsia"/>
          <w:sz w:val="24"/>
        </w:rPr>
        <w:tab/>
        <w:t>全国首条售后钣喷车间流水线作业方式；</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⑦</w:t>
      </w:r>
      <w:r>
        <w:rPr>
          <w:rFonts w:asciiTheme="minorEastAsia" w:hAnsiTheme="minorEastAsia" w:hint="eastAsia"/>
          <w:sz w:val="24"/>
        </w:rPr>
        <w:tab/>
        <w:t>……</w:t>
      </w:r>
    </w:p>
    <w:p w:rsidR="00206827" w:rsidRDefault="00C227BB">
      <w:pPr>
        <w:tabs>
          <w:tab w:val="left" w:pos="420"/>
        </w:tabs>
        <w:spacing w:line="440" w:lineRule="exact"/>
        <w:ind w:firstLineChars="200" w:firstLine="482"/>
        <w:rPr>
          <w:rFonts w:asciiTheme="minorEastAsia" w:hAnsiTheme="minorEastAsia"/>
          <w:b/>
          <w:bCs/>
          <w:sz w:val="24"/>
        </w:rPr>
      </w:pPr>
      <w:r>
        <w:rPr>
          <w:rFonts w:asciiTheme="minorEastAsia" w:hAnsiTheme="minorEastAsia" w:hint="eastAsia"/>
          <w:b/>
          <w:bCs/>
          <w:sz w:val="24"/>
        </w:rPr>
        <w:t>第六章</w:t>
      </w:r>
      <w:r>
        <w:rPr>
          <w:rFonts w:asciiTheme="minorEastAsia" w:hAnsiTheme="minorEastAsia" w:hint="eastAsia"/>
          <w:b/>
          <w:bCs/>
          <w:sz w:val="24"/>
        </w:rPr>
        <w:tab/>
        <w:t>标杆企业现场参观考察后的总结</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ab/>
        <w:t>现场参观后,看点回顾总结</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ab/>
        <w:t>提问讨论及点评</w:t>
      </w:r>
    </w:p>
    <w:p w:rsidR="00206827" w:rsidRDefault="00C227BB">
      <w:pPr>
        <w:tabs>
          <w:tab w:val="left" w:pos="420"/>
        </w:tabs>
        <w:spacing w:line="440" w:lineRule="exact"/>
        <w:ind w:firstLineChars="200" w:firstLine="48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ab/>
        <w:t>现场诊断意向企业登记(需提前联系,调配时间)</w:t>
      </w:r>
    </w:p>
    <w:p w:rsidR="00206827" w:rsidRDefault="00206827">
      <w:pPr>
        <w:spacing w:line="440" w:lineRule="exact"/>
        <w:jc w:val="left"/>
        <w:rPr>
          <w:rFonts w:asciiTheme="minorEastAsia" w:hAnsiTheme="minorEastAsia" w:cstheme="minorEastAsia"/>
          <w:bCs/>
          <w:sz w:val="24"/>
        </w:rPr>
      </w:pPr>
    </w:p>
    <w:p w:rsidR="00206827" w:rsidRDefault="00C227BB">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主讲老师：王国超</w:t>
      </w:r>
    </w:p>
    <w:p w:rsidR="00206827" w:rsidRDefault="00206827">
      <w:pPr>
        <w:spacing w:line="440" w:lineRule="exact"/>
        <w:ind w:firstLineChars="200" w:firstLine="480"/>
        <w:jc w:val="left"/>
        <w:rPr>
          <w:rFonts w:asciiTheme="minorEastAsia" w:hAnsiTheme="minorEastAsia" w:cs="Calibri"/>
          <w:sz w:val="24"/>
        </w:rPr>
      </w:pP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精益生产高级管理师、精益生产项目咨询资深顾问、上海企达、东莞民营企业协会、香</w:t>
      </w:r>
      <w:r>
        <w:rPr>
          <w:rFonts w:asciiTheme="minorEastAsia" w:hAnsiTheme="minorEastAsia" w:cs="Calibri" w:hint="eastAsia"/>
          <w:sz w:val="24"/>
        </w:rPr>
        <w:lastRenderedPageBreak/>
        <w:t>港制造业协会、中山大学、湖南大学、兰州大学等高等院校MBA总裁班、香港亚洲商学院、嘉兴精益管理学院等多家机构特聘的精益生产管理高级讲师、精益生产咨询顾问。多家企业的精益生产咨询顾问、企业定期辅导顾问、项目管理承包人等多种合作模式的精益管理实操专家。</w:t>
      </w:r>
    </w:p>
    <w:p w:rsidR="00206827" w:rsidRDefault="00C227BB">
      <w:pPr>
        <w:spacing w:line="440" w:lineRule="exact"/>
        <w:ind w:firstLineChars="200" w:firstLine="482"/>
        <w:jc w:val="left"/>
        <w:rPr>
          <w:rFonts w:asciiTheme="minorEastAsia" w:hAnsiTheme="minorEastAsia" w:cs="Calibri"/>
          <w:b/>
          <w:sz w:val="24"/>
        </w:rPr>
      </w:pPr>
      <w:r>
        <w:rPr>
          <w:rFonts w:asciiTheme="minorEastAsia" w:hAnsiTheme="minorEastAsia" w:cs="Calibri" w:hint="eastAsia"/>
          <w:b/>
          <w:sz w:val="24"/>
        </w:rPr>
        <w:t>【王国超老师简介】</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王国超老师曾在全球著名日本跨国集团---太阳诱电株式会社（公司成立于1950年，主要是电子元器件集研发、生产、销售为一体的集团公司。按企业规模和市场占有率排名全球第三，若是微电子行业的品质和市场占有率排名全球第一，主要客户是世界五百强企业如英特尔、苹果、诺基亚、摩托罗拉、SONY、松下、日立、SANYO、SHARP、TOKO、万宝至、LG、三星等，中国工厂的管理主要以现地干部为主，外籍人员为辅的管理模式，在业界享有较高的声誉）。工作19年，从事过从一线操作员做起，现场设备维护工程师、历任制造部一线班组、车间主管、制造部长、设备管理部部长、生产管理部部长、品质管理部部长、仓储物流部部长、企划运营部部长、工厂长等职务，其中担任工厂长8年（相当于中国集团总部运营总监）。期间管理中国工厂基-中-高层管理人员（管理团队成员有日本人、韩国人、中国人）等几百人，员工人数7000多人。</w:t>
      </w:r>
    </w:p>
    <w:p w:rsidR="00206827" w:rsidRDefault="00C227BB">
      <w:pPr>
        <w:spacing w:line="440" w:lineRule="exact"/>
        <w:ind w:firstLineChars="200" w:firstLine="482"/>
        <w:jc w:val="left"/>
        <w:rPr>
          <w:rFonts w:asciiTheme="minorEastAsia" w:hAnsiTheme="minorEastAsia" w:cs="Calibri"/>
          <w:b/>
          <w:sz w:val="24"/>
        </w:rPr>
      </w:pPr>
      <w:r>
        <w:rPr>
          <w:rFonts w:asciiTheme="minorEastAsia" w:hAnsiTheme="minorEastAsia" w:cs="Calibri" w:hint="eastAsia"/>
          <w:b/>
          <w:sz w:val="24"/>
        </w:rPr>
        <w:t>【工作成果】</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王国超老师在集团公司工作的主要贡献有：</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1.1993年3月到19997年10月，经历圆筒形陶瓷抵抗器新工厂的流程优化和精益布局改善的标准化建设，从日本引进圆筒形陶瓷电阻器新产品的实验、试产到量产的整个过程的设计与管理。</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2.1997年11月到2003年9月，经历了从韩国和台湾引进绕线陶瓷圆筒电容新产品的工厂精益布局，生产流水线的多次优化改善，事务流的优化及标准化管理。工厂从新产品、新材料、新设备、新工艺、新人员的组建、实验、试产到量产的过程设计及管理。</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3. 1999年11月到1999年12月，带领11人的团队参加日本国群马县太阳诱电集团《成本改善国际研讨会》，大会获得阿米巴经营模式改善成果特等奖和个人特殊贡献奖荣誉。</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4. 2003年10月到2007年12月，带队策划了从韩国和日本双向引进积层圆筒型陶瓷电容器新产品的工厂精益布局、三次增产的布局设计及流程优化、管理业务优化及标准化管理。工厂从新产品、新材料、新设备、新工艺、新人员的组建、实验、试产到量产的过程设计及管理。该工厂的成本控制、品质管理、安全管理、生产效率等管理指标达到集团最优成绩，被誉为指标管理“突破手”的光荣称号。</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5.2008年1月到2012年3月，由于金融危机的影响，企业必须面临生产成本、物流成</w:t>
      </w:r>
      <w:r>
        <w:rPr>
          <w:rFonts w:asciiTheme="minorEastAsia" w:hAnsiTheme="minorEastAsia" w:cs="Calibri" w:hint="eastAsia"/>
          <w:sz w:val="24"/>
        </w:rPr>
        <w:lastRenderedPageBreak/>
        <w:t>本、L/T（流程时间）等管理成本的极少化设计及管理，我们团队整合了日本本部研发设计、香港销售、江西等多地供应商、东莞黄江中间环节加工生产工厂，以及太阳诱电国外2个生产基地（日本、韩国）集中到中国太阳诱电公司的整个供应链环节的7种产品，进行优化整合，为集团节约了上千万的厂房租金，减少了水电气等资源三百多万，信息流及产品流极少化（流程LT从18天到3天的改善），生产综合效率提升20%，赢得了全球的既存商品加工中心的先机，为企业开拓了更多的市场，赢得了更多利润空间。</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6. 2010年10月到11月带领7人小团队参加日本国群马县太阳诱电集团《LP 精益生产改善世界研讨会》，大会最终获得《世界标准管理规范特等贡献奖》，同时还由日本跃进21改善委员会颁发了太阳诱电集团《现场改善第一人》的光荣称号。</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7.08年开始进入精益生产管理讲师的行业，12年进入专职讲师和顾问师的职业生涯。</w:t>
      </w:r>
    </w:p>
    <w:p w:rsidR="00206827" w:rsidRDefault="00C227BB">
      <w:pPr>
        <w:spacing w:line="440" w:lineRule="exact"/>
        <w:ind w:firstLineChars="200" w:firstLine="482"/>
        <w:jc w:val="left"/>
        <w:rPr>
          <w:rFonts w:asciiTheme="minorEastAsia" w:hAnsiTheme="minorEastAsia" w:cs="Calibri"/>
          <w:b/>
          <w:sz w:val="24"/>
        </w:rPr>
      </w:pPr>
      <w:r>
        <w:rPr>
          <w:rFonts w:asciiTheme="minorEastAsia" w:hAnsiTheme="minorEastAsia" w:cs="Calibri" w:hint="eastAsia"/>
          <w:b/>
          <w:sz w:val="24"/>
        </w:rPr>
        <w:t>【曾服务过的代表客户】</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高校联盟：中山大学、湖南大学、浙江大学、兰州大学、香港亚洲商学院、嘉兴精益管理学院、珠海精益管理学院。</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机动车制造：宝马汽车、东风本田、大众汽车、中杯汽车、广汽丰田、长春一汽、东风乘用车；比亚迪汽车、广州爱机汽车配件、马瑞利汽车电子、东普雷汽车部件、永彰汽车电子、陕汽重卡集团、车之骄、爱瑞汽车电子、永成双海汽车配件、佩尔哲汽车、正海汽车、中车时代电气股份、大连艾尔多汽车动力总成、大长江集团、威泰克底盘、富维伟世通、富晟特必克、礼恩派华光、盖尔瑞孚、马瑞利汽车电子、杰克斯润滑油。</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五金机械：三菱重工、三一重工、中联重科、日立电梯、捷安特轻合金科技、俊国机电科技集团、福得食品机械设备、上海优拜机械、维峰五金电子、渝利精密实业、庆泰机械、伟成金属制品、扬戈科技、巨新铸件、托肯恒山科技、瑞科精密（中国）紧固件制造、瑞兴五金厂、博新金属制品厂、鹏驰五金制品、金岱五金制品、广州日正弹簧、协兴螺丝工业（深圳）、深圳三精模具、飞和机电实业、华研精密机械、广州机械科学研究院。</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电子行业：太阳诱电、TDK、RICOH理光高科、风华高科、潮州三环、TCL显示科技、格力集团、美智电子、白井电子科技、日东电子科技集团、珠海艾派克微电、厦门盈趣科技、日东精密回路技术、伟创力、苏州福斯赛诺、格仕曼集团、东莞明合电子、和林电子、搏敏电子、依利好开关元件、胜美达旧水坑电子厂、得意精密电子工业、恒基电子、珠海保税区洛得电子、士兰集团、美胜达电子、佳耀电子。</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电器制造：格力、美的、海尔、海信、大金、南约合荣电器、创维、康佳、珠海洁源电器、TCL、金羚空调器集团、麦克维尔空调、松下、东芝、日立、约克广州空调冷冻设备、肇庆爱龙威机电、联邦炉具（集团）、狮盾电气、达恩照明、安桥国光音响、日立电梯标立电机；</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lastRenderedPageBreak/>
        <w:t>电脑配件：精元电脑、联想、神舟、长城、航嘉电源、深圳康冠、深圳宝龙达、珠海纳思达、汤姆逊、佳能、珠海赛纳打印科技。</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医药器械：一致药业、众生药业、完美（中国）、新产业生物医学工程、广东华润顺丰药业、天江药业、洛曼劳仕医疗用品、、中脉、新时代健康、拜耳、康泰、京都念慈菴。</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通讯通信：华为、中兴、信利集团、华奥通通信技术、传音通讯、京信通信、禾苗通讯、深圳科信通信；浙江和勤通信工程、雅日玻璃钢制造、广州移动、深圳移动、杭州移动、汕头移动、广东电信、东软集团股份、华洋电缆实业。</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军工制造：中航、海格通信、厦门太古飞机工程、深圳汉莎技术、沈阳滑翔、白云机场、西安航电科技。</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家具行业：森源、富宝、四海、帝龙集团、全友家私、双虎家私、大自然地板、百安居、乐安居、香江家私、喜临门、菲乐沙发、皮阿诺科学艺术家居、家家卫浴、劳卡家居、时尚坊家居、索菲亚家居、科智美家居、广州海鸥卫浴。</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食品行业：中粮集团、蒸功夫、海底捞、丘比、丰岛食品、华美食品、蒙牛、光明、辉山乳业、三全、康师傅、维维、雀巢、华乐福食品、雅迪香料、国联水产开发。</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快消行业：周大福珠宝、郴州卷烟厂、澳乐比口腔护理用品、桂林燕京啤酒股份、娃哈哈、可口可乐、汇源。</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服饰行业：广东喜之郎集团、七匹狼、雅戈尔、富安娜、李宁、红豆、九牧王、耐克、安踏、彬彬、牧童实业、赫泰服饰、瑞昌皮具制品、溢达纺织、中纺。</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仓储物流：西部物流、云南物流产业集团、昆明邮政速递EMS、江苏邮政速递EMS、河南国龙物流、比亚迪汽车。</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电力工业：浙江电能、钱清电厂、温州电厂、萧山电厂、长兴电厂、兰溪电厂、北仑电厂、台州电厂、镇海电厂、嘉兴电厂、乐青电厂、三门电厂、舟山六横电厂、绍兴滨海热电厂、滩坑水电站、大光明集团。</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高新科技：拓邦股份、金辉高科技光电材料、太洋电极新动力科技、广州华友明康光电科技、卡尔蔡司光学、深圳是德方纳米科技股份、深圳深超换能器、东方日升新能源、金辉高科技光电材料、兴森快捷电路科技、宇阳电子科技、托肯恒山科技、莱特维科技、东莞市俊宏电子科技、耀纳舞台科技、健怡康科技、托肯恒山科技、森杰包装科技。</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其它行业：凯达橡塑工艺、柏华容器、集友工艺玻璃工、中山欧帝尔照明、虎彩印艺股份、立信玩具、超邦化工、利士包装、南海新宝德塑料、依多科化工、圣戈班伟伯建材、汕头乐凯胶片、广州市灿虹印材、佛山新宝德塑料、广州洛民塑料、威达绝缘材料制造、永勤玩具实业、中编印务、纽佩斯（佛山）树脂、灿虹印材、宾豪箱包、恒益现代制品、长优实</w:t>
      </w:r>
      <w:r>
        <w:rPr>
          <w:rFonts w:asciiTheme="minorEastAsia" w:hAnsiTheme="minorEastAsia" w:cs="Calibri" w:hint="eastAsia"/>
          <w:sz w:val="24"/>
        </w:rPr>
        <w:lastRenderedPageBreak/>
        <w:t>业、亚太森博纸业、伟利纸品包装、巧美化妆、奇胜进出口贸易、华福涂料、爱科琪盛塑料、华南建材、运水高环保设备、天活松林光学、道达尔石化、湛江卷烟包装印刷等上万家企业。</w:t>
      </w:r>
    </w:p>
    <w:p w:rsidR="00206827" w:rsidRDefault="00C227BB">
      <w:pPr>
        <w:spacing w:line="440" w:lineRule="exact"/>
        <w:ind w:firstLineChars="200" w:firstLine="482"/>
        <w:jc w:val="left"/>
        <w:rPr>
          <w:rFonts w:asciiTheme="minorEastAsia" w:hAnsiTheme="minorEastAsia" w:cs="Calibri"/>
          <w:b/>
          <w:sz w:val="24"/>
        </w:rPr>
      </w:pPr>
      <w:r>
        <w:rPr>
          <w:rFonts w:asciiTheme="minorEastAsia" w:hAnsiTheme="minorEastAsia" w:cs="Calibri" w:hint="eastAsia"/>
          <w:b/>
          <w:sz w:val="24"/>
        </w:rPr>
        <w:t>【企业及学员评价】</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 xml:space="preserve">1．“王老师讲课内容简单易懂、全部用案例内容解说管理知识点、现场演练管理工具、课程思路清晰，前后内容衔接严谨，用言朴实，课程中分享了大量的同行业经验，几天的课程轻松愉快地度过，希望王老师的课程走进企业内训和专项咨询辅导！” </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 xml:space="preserve">----公开课同学反馈 </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 xml:space="preserve">2．“王老师的内训课，很有特色，一半时间讲系统和工具，一半时间到现场找问题，现场改善辅导，现学现用，不再是纸上谈兵的感觉，现场人员积极性高，氛围好，收效好！ </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----内训课同学反馈</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 xml:space="preserve">3．“王老师的现场辅导的能够解决企业的实际问题，能手把手的教会我们对项目的管理，耐心培养团队的协同作战能力，反复训练常用管理工具的实操能力，给我们最大的收获就是个人的管理水平显著提升，团队的协同作战能力的形成，希望能够继续帮助我们解决更多更难专项或者系统问题，期待长期合作！”　　　　　</w:t>
      </w:r>
    </w:p>
    <w:p w:rsidR="00206827" w:rsidRDefault="00C227BB">
      <w:pPr>
        <w:spacing w:line="440" w:lineRule="exact"/>
        <w:ind w:firstLineChars="200" w:firstLine="480"/>
        <w:jc w:val="left"/>
        <w:rPr>
          <w:rFonts w:asciiTheme="minorEastAsia" w:hAnsiTheme="minorEastAsia" w:cs="Calibri"/>
          <w:sz w:val="24"/>
        </w:rPr>
      </w:pPr>
      <w:r>
        <w:rPr>
          <w:rFonts w:asciiTheme="minorEastAsia" w:hAnsiTheme="minorEastAsia" w:cs="Calibri" w:hint="eastAsia"/>
          <w:sz w:val="24"/>
        </w:rPr>
        <w:t>----项目辅导企业反馈</w:t>
      </w: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206827">
      <w:pPr>
        <w:spacing w:line="440" w:lineRule="exact"/>
        <w:ind w:firstLineChars="200" w:firstLine="480"/>
        <w:jc w:val="left"/>
        <w:rPr>
          <w:rFonts w:asciiTheme="minorEastAsia" w:hAnsiTheme="minorEastAsia" w:cs="Calibri"/>
          <w:sz w:val="24"/>
        </w:rPr>
      </w:pPr>
    </w:p>
    <w:p w:rsidR="00206827" w:rsidRDefault="00C227BB">
      <w:pPr>
        <w:shd w:val="clear" w:color="auto" w:fill="EAEAEA" w:themeFill="accent1" w:themeFillTint="99"/>
        <w:jc w:val="center"/>
        <w:rPr>
          <w:rFonts w:ascii="微软雅黑" w:eastAsia="微软雅黑" w:hAnsi="微软雅黑"/>
          <w:b/>
          <w:sz w:val="30"/>
          <w:szCs w:val="30"/>
        </w:rPr>
      </w:pPr>
      <w:r>
        <w:rPr>
          <w:rFonts w:ascii="微软雅黑" w:eastAsia="微软雅黑" w:hAnsi="微软雅黑" w:hint="eastAsia"/>
          <w:b/>
          <w:sz w:val="30"/>
          <w:szCs w:val="30"/>
        </w:rPr>
        <w:t>报名回执</w:t>
      </w:r>
    </w:p>
    <w:p w:rsidR="00206827" w:rsidRDefault="00206827">
      <w:pPr>
        <w:spacing w:line="400" w:lineRule="exact"/>
        <w:jc w:val="center"/>
        <w:rPr>
          <w:rFonts w:ascii="微软雅黑" w:eastAsia="微软雅黑" w:hAnsi="微软雅黑"/>
          <w:b/>
          <w:sz w:val="30"/>
          <w:szCs w:val="30"/>
        </w:rPr>
      </w:pPr>
    </w:p>
    <w:p w:rsidR="00206827" w:rsidRDefault="00C227BB">
      <w:pPr>
        <w:spacing w:line="400" w:lineRule="exact"/>
        <w:jc w:val="center"/>
        <w:rPr>
          <w:rFonts w:ascii="微软雅黑" w:eastAsia="微软雅黑" w:hAnsi="微软雅黑"/>
          <w:b/>
          <w:sz w:val="30"/>
          <w:szCs w:val="30"/>
        </w:rPr>
      </w:pPr>
      <w:r>
        <w:rPr>
          <w:rFonts w:ascii="微软雅黑" w:eastAsia="微软雅黑" w:hAnsi="微软雅黑" w:hint="eastAsia"/>
          <w:b/>
          <w:sz w:val="30"/>
          <w:szCs w:val="30"/>
        </w:rPr>
        <w:t>《精益生产(丰田TPS)实战训练营+广汽新能源标杆参观》报名回执</w:t>
      </w:r>
    </w:p>
    <w:p w:rsidR="00206827" w:rsidRDefault="00C227BB">
      <w:pPr>
        <w:spacing w:line="240" w:lineRule="atLeast"/>
        <w:ind w:leftChars="-8" w:left="-2" w:hangingChars="7" w:hanging="15"/>
        <w:jc w:val="center"/>
        <w:rPr>
          <w:rFonts w:ascii="微软雅黑" w:eastAsia="微软雅黑" w:hAnsi="微软雅黑"/>
          <w:szCs w:val="21"/>
        </w:rPr>
      </w:pPr>
      <w:r>
        <w:rPr>
          <w:rFonts w:ascii="微软雅黑" w:eastAsia="微软雅黑" w:hAnsi="微软雅黑"/>
          <w:szCs w:val="21"/>
        </w:rPr>
        <w:t xml:space="preserve">  </w:t>
      </w:r>
      <w:r>
        <w:rPr>
          <w:rFonts w:ascii="微软雅黑" w:eastAsia="微软雅黑" w:hAnsi="微软雅黑" w:hint="eastAsia"/>
          <w:szCs w:val="21"/>
        </w:rPr>
        <w:t>填好下表后传真至</w:t>
      </w:r>
      <w:r>
        <w:rPr>
          <w:rFonts w:ascii="微软雅黑" w:eastAsia="微软雅黑" w:hAnsi="微软雅黑"/>
          <w:w w:val="110"/>
          <w:szCs w:val="21"/>
        </w:rPr>
        <w:t>0755-86154195</w:t>
      </w:r>
      <w:r>
        <w:rPr>
          <w:rFonts w:ascii="微软雅黑" w:eastAsia="微软雅黑" w:hAnsi="微软雅黑" w:hint="eastAsia"/>
          <w:szCs w:val="21"/>
        </w:rPr>
        <w:t>（此表复印有效）</w:t>
      </w:r>
    </w:p>
    <w:tbl>
      <w:tblPr>
        <w:tblW w:w="10728"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1198"/>
        <w:gridCol w:w="1610"/>
        <w:gridCol w:w="190"/>
        <w:gridCol w:w="900"/>
        <w:gridCol w:w="580"/>
        <w:gridCol w:w="1930"/>
        <w:gridCol w:w="730"/>
        <w:gridCol w:w="350"/>
        <w:gridCol w:w="3240"/>
      </w:tblGrid>
      <w:tr w:rsidR="00206827">
        <w:trPr>
          <w:cantSplit/>
          <w:trHeight w:hRule="exact" w:val="589"/>
          <w:jc w:val="center"/>
        </w:trPr>
        <w:tc>
          <w:tcPr>
            <w:tcW w:w="1198" w:type="dxa"/>
            <w:tcBorders>
              <w:top w:val="thinThickSmallGap" w:sz="12" w:space="0" w:color="auto"/>
            </w:tcBorders>
            <w:vAlign w:val="center"/>
          </w:tcPr>
          <w:p w:rsidR="00206827" w:rsidRDefault="00C227BB">
            <w:pPr>
              <w:spacing w:before="100" w:beforeAutospacing="1" w:after="100" w:afterAutospacing="1" w:line="280" w:lineRule="exact"/>
              <w:jc w:val="center"/>
              <w:rPr>
                <w:rStyle w:val="a6"/>
                <w:rFonts w:ascii="微软雅黑" w:eastAsia="微软雅黑" w:hAnsi="微软雅黑"/>
                <w:b w:val="0"/>
                <w:bCs w:val="0"/>
                <w:szCs w:val="21"/>
              </w:rPr>
            </w:pPr>
            <w:r>
              <w:rPr>
                <w:rFonts w:ascii="微软雅黑" w:eastAsia="微软雅黑" w:hAnsi="微软雅黑" w:hint="eastAsia"/>
                <w:szCs w:val="21"/>
              </w:rPr>
              <w:t>单位名称</w:t>
            </w:r>
          </w:p>
        </w:tc>
        <w:tc>
          <w:tcPr>
            <w:tcW w:w="9530" w:type="dxa"/>
            <w:gridSpan w:val="8"/>
            <w:tcBorders>
              <w:top w:val="thinThickSmallGap" w:sz="12" w:space="0" w:color="auto"/>
            </w:tcBorders>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r>
      <w:tr w:rsidR="00206827">
        <w:trPr>
          <w:cantSplit/>
          <w:trHeight w:hRule="exact" w:val="580"/>
          <w:jc w:val="center"/>
        </w:trPr>
        <w:tc>
          <w:tcPr>
            <w:tcW w:w="1198" w:type="dxa"/>
            <w:vAlign w:val="center"/>
          </w:tcPr>
          <w:p w:rsidR="00206827" w:rsidRDefault="00C227BB">
            <w:pPr>
              <w:spacing w:before="100" w:beforeAutospacing="1" w:after="100" w:afterAutospacing="1" w:line="280" w:lineRule="exact"/>
              <w:jc w:val="center"/>
              <w:rPr>
                <w:rFonts w:ascii="微软雅黑" w:eastAsia="微软雅黑" w:hAnsi="微软雅黑"/>
                <w:szCs w:val="21"/>
              </w:rPr>
            </w:pPr>
            <w:r>
              <w:rPr>
                <w:rStyle w:val="a6"/>
                <w:rFonts w:ascii="微软雅黑" w:eastAsia="微软雅黑" w:hAnsi="微软雅黑" w:hint="eastAsia"/>
                <w:b w:val="0"/>
                <w:bCs w:val="0"/>
                <w:szCs w:val="21"/>
              </w:rPr>
              <w:t>发票抬头</w:t>
            </w:r>
          </w:p>
        </w:tc>
        <w:tc>
          <w:tcPr>
            <w:tcW w:w="5940" w:type="dxa"/>
            <w:gridSpan w:val="6"/>
            <w:vAlign w:val="center"/>
          </w:tcPr>
          <w:p w:rsidR="00206827" w:rsidRDefault="00206827">
            <w:pPr>
              <w:spacing w:before="100" w:beforeAutospacing="1" w:after="100" w:afterAutospacing="1" w:line="280" w:lineRule="exact"/>
              <w:jc w:val="center"/>
              <w:rPr>
                <w:rFonts w:ascii="微软雅黑" w:eastAsia="微软雅黑" w:hAnsi="微软雅黑"/>
                <w:szCs w:val="21"/>
              </w:rPr>
            </w:pPr>
          </w:p>
        </w:tc>
        <w:tc>
          <w:tcPr>
            <w:tcW w:w="3590" w:type="dxa"/>
            <w:gridSpan w:val="2"/>
            <w:vAlign w:val="center"/>
          </w:tcPr>
          <w:p w:rsidR="00206827" w:rsidRDefault="00C227BB">
            <w:pPr>
              <w:spacing w:before="100" w:beforeAutospacing="1" w:after="100" w:afterAutospacing="1" w:line="280" w:lineRule="exact"/>
              <w:jc w:val="center"/>
              <w:rPr>
                <w:rFonts w:ascii="微软雅黑" w:eastAsia="微软雅黑" w:hAnsi="微软雅黑"/>
                <w:szCs w:val="21"/>
              </w:rPr>
            </w:pPr>
            <w:r>
              <w:rPr>
                <w:rStyle w:val="a6"/>
                <w:rFonts w:ascii="微软雅黑" w:eastAsia="微软雅黑" w:hAnsi="微软雅黑" w:hint="eastAsia"/>
                <w:b w:val="0"/>
                <w:bCs w:val="0"/>
                <w:szCs w:val="21"/>
              </w:rPr>
              <w:t>发票内容：</w:t>
            </w:r>
            <w:r>
              <w:rPr>
                <w:rFonts w:ascii="微软雅黑" w:eastAsia="微软雅黑" w:hAnsi="微软雅黑" w:hint="eastAsia"/>
                <w:bCs/>
                <w:szCs w:val="21"/>
              </w:rPr>
              <w:t>□</w:t>
            </w:r>
            <w:r>
              <w:rPr>
                <w:rFonts w:ascii="微软雅黑" w:eastAsia="微软雅黑" w:hAnsi="微软雅黑"/>
                <w:bCs/>
                <w:szCs w:val="21"/>
              </w:rPr>
              <w:t>1</w:t>
            </w:r>
            <w:r>
              <w:rPr>
                <w:rFonts w:ascii="微软雅黑" w:eastAsia="微软雅黑" w:hAnsi="微软雅黑" w:hint="eastAsia"/>
                <w:bCs/>
                <w:szCs w:val="21"/>
              </w:rPr>
              <w:t>、咨询费</w:t>
            </w:r>
            <w:r>
              <w:rPr>
                <w:rFonts w:ascii="微软雅黑" w:eastAsia="微软雅黑" w:hAnsi="微软雅黑"/>
                <w:bCs/>
                <w:szCs w:val="21"/>
              </w:rPr>
              <w:t xml:space="preserve"> </w:t>
            </w:r>
            <w:r>
              <w:rPr>
                <w:rFonts w:ascii="微软雅黑" w:eastAsia="微软雅黑" w:hAnsi="微软雅黑" w:hint="eastAsia"/>
                <w:bCs/>
                <w:szCs w:val="21"/>
              </w:rPr>
              <w:t>□</w:t>
            </w:r>
            <w:r>
              <w:rPr>
                <w:rFonts w:ascii="微软雅黑" w:eastAsia="微软雅黑" w:hAnsi="微软雅黑"/>
                <w:bCs/>
                <w:szCs w:val="21"/>
              </w:rPr>
              <w:t>2</w:t>
            </w:r>
            <w:r>
              <w:rPr>
                <w:rFonts w:ascii="微软雅黑" w:eastAsia="微软雅黑" w:hAnsi="微软雅黑" w:hint="eastAsia"/>
                <w:bCs/>
                <w:szCs w:val="21"/>
              </w:rPr>
              <w:t>、会务费</w:t>
            </w:r>
          </w:p>
        </w:tc>
      </w:tr>
      <w:tr w:rsidR="00206827">
        <w:trPr>
          <w:cantSplit/>
          <w:trHeight w:hRule="exact" w:val="460"/>
          <w:jc w:val="center"/>
        </w:trPr>
        <w:tc>
          <w:tcPr>
            <w:tcW w:w="1198" w:type="dxa"/>
            <w:vAlign w:val="center"/>
          </w:tcPr>
          <w:p w:rsidR="00206827" w:rsidRDefault="00C227BB">
            <w:pPr>
              <w:spacing w:before="100" w:beforeAutospacing="1" w:after="100" w:afterAutospacing="1" w:line="280" w:lineRule="exact"/>
              <w:jc w:val="center"/>
              <w:rPr>
                <w:rFonts w:ascii="微软雅黑" w:eastAsia="微软雅黑" w:hAnsi="微软雅黑"/>
                <w:bCs/>
                <w:szCs w:val="21"/>
              </w:rPr>
            </w:pPr>
            <w:r>
              <w:rPr>
                <w:rFonts w:ascii="微软雅黑" w:eastAsia="微软雅黑" w:hAnsi="微软雅黑" w:hint="eastAsia"/>
                <w:bCs/>
                <w:szCs w:val="21"/>
              </w:rPr>
              <w:t>公司地址</w:t>
            </w:r>
          </w:p>
        </w:tc>
        <w:tc>
          <w:tcPr>
            <w:tcW w:w="9530" w:type="dxa"/>
            <w:gridSpan w:val="8"/>
            <w:vAlign w:val="center"/>
          </w:tcPr>
          <w:p w:rsidR="00206827" w:rsidRDefault="00206827">
            <w:pPr>
              <w:spacing w:before="100" w:beforeAutospacing="1" w:after="100" w:afterAutospacing="1" w:line="280" w:lineRule="exact"/>
              <w:jc w:val="center"/>
              <w:rPr>
                <w:rFonts w:ascii="微软雅黑" w:eastAsia="微软雅黑" w:hAnsi="微软雅黑"/>
                <w:szCs w:val="21"/>
              </w:rPr>
            </w:pPr>
          </w:p>
        </w:tc>
      </w:tr>
      <w:tr w:rsidR="00206827">
        <w:trPr>
          <w:cantSplit/>
          <w:trHeight w:hRule="exact" w:val="466"/>
          <w:jc w:val="center"/>
        </w:trPr>
        <w:tc>
          <w:tcPr>
            <w:tcW w:w="1198" w:type="dxa"/>
            <w:vAlign w:val="center"/>
          </w:tcPr>
          <w:p w:rsidR="00206827" w:rsidRDefault="00C227BB">
            <w:pPr>
              <w:spacing w:before="100" w:beforeAutospacing="1" w:after="100" w:afterAutospacing="1" w:line="280" w:lineRule="exact"/>
              <w:jc w:val="center"/>
              <w:rPr>
                <w:rFonts w:ascii="微软雅黑" w:eastAsia="微软雅黑" w:hAnsi="微软雅黑"/>
                <w:szCs w:val="21"/>
              </w:rPr>
            </w:pPr>
            <w:r>
              <w:rPr>
                <w:rFonts w:ascii="微软雅黑" w:eastAsia="微软雅黑" w:hAnsi="微软雅黑" w:hint="eastAsia"/>
                <w:szCs w:val="21"/>
              </w:rPr>
              <w:t>联系人</w:t>
            </w:r>
          </w:p>
        </w:tc>
        <w:tc>
          <w:tcPr>
            <w:tcW w:w="1800" w:type="dxa"/>
            <w:gridSpan w:val="2"/>
            <w:vAlign w:val="center"/>
          </w:tcPr>
          <w:p w:rsidR="00206827" w:rsidRDefault="00206827">
            <w:pPr>
              <w:spacing w:before="100" w:beforeAutospacing="1" w:after="100" w:afterAutospacing="1" w:line="280" w:lineRule="exact"/>
              <w:jc w:val="center"/>
              <w:rPr>
                <w:rFonts w:ascii="微软雅黑" w:eastAsia="微软雅黑" w:hAnsi="微软雅黑"/>
                <w:szCs w:val="21"/>
              </w:rPr>
            </w:pPr>
          </w:p>
        </w:tc>
        <w:tc>
          <w:tcPr>
            <w:tcW w:w="900" w:type="dxa"/>
            <w:vAlign w:val="center"/>
          </w:tcPr>
          <w:p w:rsidR="00206827" w:rsidRDefault="00C227BB">
            <w:pPr>
              <w:spacing w:before="100" w:beforeAutospacing="1" w:after="100" w:afterAutospacing="1" w:line="280" w:lineRule="exact"/>
              <w:jc w:val="center"/>
              <w:rPr>
                <w:rFonts w:ascii="微软雅黑" w:eastAsia="微软雅黑" w:hAnsi="微软雅黑"/>
                <w:szCs w:val="21"/>
              </w:rPr>
            </w:pPr>
            <w:r>
              <w:rPr>
                <w:rFonts w:ascii="微软雅黑" w:eastAsia="微软雅黑" w:hAnsi="微软雅黑" w:hint="eastAsia"/>
                <w:szCs w:val="21"/>
              </w:rPr>
              <w:t>电话</w:t>
            </w:r>
          </w:p>
        </w:tc>
        <w:tc>
          <w:tcPr>
            <w:tcW w:w="2510" w:type="dxa"/>
            <w:gridSpan w:val="2"/>
            <w:vAlign w:val="center"/>
          </w:tcPr>
          <w:p w:rsidR="00206827" w:rsidRDefault="00206827">
            <w:pPr>
              <w:spacing w:before="100" w:beforeAutospacing="1" w:after="100" w:afterAutospacing="1" w:line="280" w:lineRule="exact"/>
              <w:jc w:val="center"/>
              <w:rPr>
                <w:rFonts w:ascii="微软雅黑" w:eastAsia="微软雅黑" w:hAnsi="微软雅黑"/>
                <w:bCs/>
                <w:szCs w:val="21"/>
              </w:rPr>
            </w:pPr>
          </w:p>
        </w:tc>
        <w:tc>
          <w:tcPr>
            <w:tcW w:w="1080" w:type="dxa"/>
            <w:gridSpan w:val="2"/>
            <w:vAlign w:val="center"/>
          </w:tcPr>
          <w:p w:rsidR="00206827" w:rsidRDefault="00C227BB">
            <w:pPr>
              <w:spacing w:before="100" w:beforeAutospacing="1" w:after="100" w:afterAutospacing="1" w:line="280" w:lineRule="exact"/>
              <w:jc w:val="center"/>
              <w:rPr>
                <w:rFonts w:ascii="微软雅黑" w:eastAsia="微软雅黑" w:hAnsi="微软雅黑"/>
                <w:szCs w:val="21"/>
              </w:rPr>
            </w:pPr>
            <w:r>
              <w:rPr>
                <w:rFonts w:ascii="微软雅黑" w:eastAsia="微软雅黑" w:hAnsi="微软雅黑" w:hint="eastAsia"/>
                <w:szCs w:val="21"/>
              </w:rPr>
              <w:t>手机</w:t>
            </w:r>
          </w:p>
        </w:tc>
        <w:tc>
          <w:tcPr>
            <w:tcW w:w="3240" w:type="dxa"/>
            <w:vAlign w:val="center"/>
          </w:tcPr>
          <w:p w:rsidR="00206827" w:rsidRDefault="00206827">
            <w:pPr>
              <w:spacing w:before="100" w:beforeAutospacing="1" w:after="100" w:afterAutospacing="1" w:line="280" w:lineRule="exact"/>
              <w:jc w:val="center"/>
              <w:rPr>
                <w:rFonts w:ascii="微软雅黑" w:eastAsia="微软雅黑" w:hAnsi="微软雅黑"/>
                <w:szCs w:val="21"/>
              </w:rPr>
            </w:pPr>
          </w:p>
        </w:tc>
      </w:tr>
      <w:tr w:rsidR="00206827">
        <w:trPr>
          <w:cantSplit/>
          <w:trHeight w:hRule="exact" w:val="508"/>
          <w:jc w:val="center"/>
        </w:trPr>
        <w:tc>
          <w:tcPr>
            <w:tcW w:w="1198" w:type="dxa"/>
            <w:vAlign w:val="center"/>
          </w:tcPr>
          <w:p w:rsidR="00206827" w:rsidRDefault="00C227BB">
            <w:pPr>
              <w:spacing w:before="100" w:beforeAutospacing="1" w:after="100" w:afterAutospacing="1" w:line="280" w:lineRule="exact"/>
              <w:jc w:val="center"/>
              <w:rPr>
                <w:rFonts w:ascii="微软雅黑" w:eastAsia="微软雅黑" w:hAnsi="微软雅黑"/>
                <w:szCs w:val="21"/>
              </w:rPr>
            </w:pPr>
            <w:r>
              <w:rPr>
                <w:rFonts w:ascii="微软雅黑" w:eastAsia="微软雅黑" w:hAnsi="微软雅黑" w:hint="eastAsia"/>
                <w:szCs w:val="21"/>
              </w:rPr>
              <w:t>职务</w:t>
            </w:r>
          </w:p>
        </w:tc>
        <w:tc>
          <w:tcPr>
            <w:tcW w:w="1800" w:type="dxa"/>
            <w:gridSpan w:val="2"/>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c>
          <w:tcPr>
            <w:tcW w:w="900" w:type="dxa"/>
            <w:vAlign w:val="center"/>
          </w:tcPr>
          <w:p w:rsidR="00206827" w:rsidRDefault="00C227BB">
            <w:pPr>
              <w:spacing w:before="100" w:beforeAutospacing="1" w:after="100" w:afterAutospacing="1" w:line="280" w:lineRule="exact"/>
              <w:jc w:val="center"/>
              <w:rPr>
                <w:rStyle w:val="a6"/>
                <w:rFonts w:ascii="微软雅黑" w:eastAsia="微软雅黑" w:hAnsi="微软雅黑"/>
                <w:b w:val="0"/>
                <w:bCs w:val="0"/>
                <w:szCs w:val="21"/>
              </w:rPr>
            </w:pPr>
            <w:r>
              <w:rPr>
                <w:rStyle w:val="a6"/>
                <w:rFonts w:ascii="微软雅黑" w:eastAsia="微软雅黑" w:hAnsi="微软雅黑" w:hint="eastAsia"/>
                <w:b w:val="0"/>
                <w:bCs w:val="0"/>
                <w:szCs w:val="21"/>
              </w:rPr>
              <w:t>传真</w:t>
            </w:r>
          </w:p>
        </w:tc>
        <w:tc>
          <w:tcPr>
            <w:tcW w:w="2510" w:type="dxa"/>
            <w:gridSpan w:val="2"/>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c>
          <w:tcPr>
            <w:tcW w:w="1080" w:type="dxa"/>
            <w:gridSpan w:val="2"/>
            <w:vAlign w:val="center"/>
          </w:tcPr>
          <w:p w:rsidR="00206827" w:rsidRDefault="00C227BB">
            <w:pPr>
              <w:spacing w:before="100" w:beforeAutospacing="1" w:after="100" w:afterAutospacing="1" w:line="280" w:lineRule="exact"/>
              <w:jc w:val="center"/>
              <w:rPr>
                <w:rStyle w:val="a6"/>
                <w:rFonts w:ascii="微软雅黑" w:eastAsia="微软雅黑" w:hAnsi="微软雅黑"/>
                <w:b w:val="0"/>
                <w:bCs w:val="0"/>
                <w:szCs w:val="21"/>
              </w:rPr>
            </w:pPr>
            <w:r>
              <w:rPr>
                <w:rStyle w:val="a6"/>
                <w:rFonts w:ascii="微软雅黑" w:eastAsia="微软雅黑" w:hAnsi="微软雅黑"/>
                <w:b w:val="0"/>
                <w:bCs w:val="0"/>
                <w:szCs w:val="21"/>
              </w:rPr>
              <w:t>E-mail</w:t>
            </w:r>
          </w:p>
        </w:tc>
        <w:tc>
          <w:tcPr>
            <w:tcW w:w="3240" w:type="dxa"/>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r>
      <w:tr w:rsidR="00206827">
        <w:trPr>
          <w:cantSplit/>
          <w:trHeight w:hRule="exact" w:val="402"/>
          <w:jc w:val="center"/>
        </w:trPr>
        <w:tc>
          <w:tcPr>
            <w:tcW w:w="1198" w:type="dxa"/>
            <w:vMerge w:val="restart"/>
            <w:shd w:val="clear" w:color="auto" w:fill="auto"/>
            <w:vAlign w:val="center"/>
          </w:tcPr>
          <w:p w:rsidR="00206827" w:rsidRDefault="00C227BB">
            <w:pPr>
              <w:spacing w:line="240" w:lineRule="exact"/>
              <w:jc w:val="center"/>
              <w:rPr>
                <w:rFonts w:ascii="微软雅黑" w:eastAsia="微软雅黑" w:hAnsi="微软雅黑"/>
                <w:szCs w:val="21"/>
              </w:rPr>
            </w:pPr>
            <w:r>
              <w:rPr>
                <w:rFonts w:ascii="微软雅黑" w:eastAsia="微软雅黑" w:hAnsi="微软雅黑"/>
                <w:szCs w:val="21"/>
              </w:rPr>
              <w:t xml:space="preserve"> </w:t>
            </w:r>
          </w:p>
          <w:p w:rsidR="00206827" w:rsidRDefault="00C227BB">
            <w:pPr>
              <w:spacing w:before="100" w:beforeAutospacing="1" w:after="100" w:afterAutospacing="1" w:line="280" w:lineRule="exact"/>
              <w:jc w:val="center"/>
              <w:rPr>
                <w:rFonts w:ascii="微软雅黑" w:eastAsia="微软雅黑" w:hAnsi="微软雅黑"/>
                <w:szCs w:val="21"/>
              </w:rPr>
            </w:pPr>
            <w:r>
              <w:rPr>
                <w:rFonts w:ascii="微软雅黑" w:eastAsia="微软雅黑" w:hAnsi="微软雅黑" w:hint="eastAsia"/>
                <w:szCs w:val="21"/>
              </w:rPr>
              <w:t>参加</w:t>
            </w:r>
          </w:p>
          <w:p w:rsidR="00206827" w:rsidRDefault="00C227BB">
            <w:pPr>
              <w:spacing w:before="100" w:beforeAutospacing="1" w:after="100" w:afterAutospacing="1" w:line="280" w:lineRule="exact"/>
              <w:jc w:val="center"/>
              <w:rPr>
                <w:rFonts w:ascii="微软雅黑" w:eastAsia="微软雅黑" w:hAnsi="微软雅黑"/>
                <w:szCs w:val="21"/>
              </w:rPr>
            </w:pPr>
            <w:r>
              <w:rPr>
                <w:rFonts w:ascii="微软雅黑" w:eastAsia="微软雅黑" w:hAnsi="微软雅黑" w:hint="eastAsia"/>
                <w:szCs w:val="21"/>
              </w:rPr>
              <w:t>学员</w:t>
            </w:r>
          </w:p>
          <w:p w:rsidR="00206827" w:rsidRDefault="00C227BB">
            <w:pPr>
              <w:spacing w:before="100" w:beforeAutospacing="1" w:after="100" w:afterAutospacing="1" w:line="280" w:lineRule="exact"/>
              <w:jc w:val="center"/>
              <w:rPr>
                <w:rFonts w:ascii="微软雅黑" w:eastAsia="微软雅黑" w:hAnsi="微软雅黑"/>
                <w:szCs w:val="21"/>
              </w:rPr>
            </w:pPr>
            <w:r>
              <w:rPr>
                <w:rFonts w:ascii="微软雅黑" w:eastAsia="微软雅黑" w:hAnsi="微软雅黑" w:hint="eastAsia"/>
                <w:szCs w:val="21"/>
              </w:rPr>
              <w:t>名单</w:t>
            </w:r>
          </w:p>
          <w:p w:rsidR="00206827" w:rsidRDefault="00206827">
            <w:pPr>
              <w:spacing w:before="100" w:beforeAutospacing="1" w:after="100" w:afterAutospacing="1" w:line="280" w:lineRule="exact"/>
              <w:rPr>
                <w:rFonts w:ascii="微软雅黑" w:eastAsia="微软雅黑" w:hAnsi="微软雅黑"/>
                <w:szCs w:val="21"/>
              </w:rPr>
            </w:pPr>
          </w:p>
          <w:p w:rsidR="00206827" w:rsidRDefault="00206827">
            <w:pPr>
              <w:spacing w:before="100" w:beforeAutospacing="1" w:after="100" w:afterAutospacing="1" w:line="280" w:lineRule="exact"/>
              <w:rPr>
                <w:rFonts w:ascii="微软雅黑" w:eastAsia="微软雅黑" w:hAnsi="微软雅黑"/>
                <w:szCs w:val="21"/>
              </w:rPr>
            </w:pPr>
          </w:p>
          <w:p w:rsidR="00206827" w:rsidRDefault="00206827">
            <w:pPr>
              <w:spacing w:before="100" w:beforeAutospacing="1" w:after="100" w:afterAutospacing="1" w:line="280" w:lineRule="exact"/>
              <w:rPr>
                <w:rFonts w:ascii="微软雅黑" w:eastAsia="微软雅黑" w:hAnsi="微软雅黑"/>
                <w:szCs w:val="21"/>
              </w:rPr>
            </w:pPr>
          </w:p>
          <w:p w:rsidR="00206827" w:rsidRDefault="00206827">
            <w:pPr>
              <w:spacing w:before="100" w:beforeAutospacing="1" w:after="100" w:afterAutospacing="1" w:line="280" w:lineRule="exact"/>
              <w:rPr>
                <w:rFonts w:ascii="微软雅黑" w:eastAsia="微软雅黑" w:hAnsi="微软雅黑"/>
                <w:szCs w:val="21"/>
              </w:rPr>
            </w:pPr>
          </w:p>
          <w:p w:rsidR="00206827" w:rsidRDefault="00206827">
            <w:pPr>
              <w:spacing w:before="100" w:beforeAutospacing="1" w:after="100" w:afterAutospacing="1" w:line="280" w:lineRule="exact"/>
              <w:rPr>
                <w:rFonts w:ascii="微软雅黑" w:eastAsia="微软雅黑" w:hAnsi="微软雅黑"/>
                <w:szCs w:val="21"/>
              </w:rPr>
            </w:pPr>
          </w:p>
        </w:tc>
        <w:tc>
          <w:tcPr>
            <w:tcW w:w="1610" w:type="dxa"/>
            <w:shd w:val="clear" w:color="auto" w:fill="E6E6E6"/>
            <w:vAlign w:val="center"/>
          </w:tcPr>
          <w:p w:rsidR="00206827" w:rsidRDefault="00C227BB">
            <w:pPr>
              <w:spacing w:before="100" w:beforeAutospacing="1" w:after="100" w:afterAutospacing="1" w:line="280" w:lineRule="exact"/>
              <w:jc w:val="center"/>
              <w:rPr>
                <w:rStyle w:val="a6"/>
                <w:rFonts w:ascii="微软雅黑" w:eastAsia="微软雅黑" w:hAnsi="微软雅黑"/>
                <w:b w:val="0"/>
                <w:bCs w:val="0"/>
                <w:szCs w:val="21"/>
              </w:rPr>
            </w:pPr>
            <w:r>
              <w:rPr>
                <w:rStyle w:val="a6"/>
                <w:rFonts w:ascii="微软雅黑" w:eastAsia="微软雅黑" w:hAnsi="微软雅黑" w:hint="eastAsia"/>
                <w:b w:val="0"/>
                <w:bCs w:val="0"/>
                <w:szCs w:val="21"/>
              </w:rPr>
              <w:t>姓名</w:t>
            </w:r>
          </w:p>
        </w:tc>
        <w:tc>
          <w:tcPr>
            <w:tcW w:w="1670" w:type="dxa"/>
            <w:gridSpan w:val="3"/>
            <w:shd w:val="clear" w:color="auto" w:fill="E6E6E6"/>
            <w:vAlign w:val="center"/>
          </w:tcPr>
          <w:p w:rsidR="00206827" w:rsidRDefault="00C227BB">
            <w:pPr>
              <w:spacing w:before="100" w:beforeAutospacing="1" w:after="100" w:afterAutospacing="1" w:line="280" w:lineRule="exact"/>
              <w:jc w:val="center"/>
              <w:rPr>
                <w:rStyle w:val="a6"/>
                <w:rFonts w:ascii="微软雅黑" w:eastAsia="微软雅黑" w:hAnsi="微软雅黑"/>
                <w:b w:val="0"/>
                <w:bCs w:val="0"/>
                <w:szCs w:val="21"/>
              </w:rPr>
            </w:pPr>
            <w:r>
              <w:rPr>
                <w:rStyle w:val="a6"/>
                <w:rFonts w:ascii="微软雅黑" w:eastAsia="微软雅黑" w:hAnsi="微软雅黑" w:hint="eastAsia"/>
                <w:b w:val="0"/>
                <w:bCs w:val="0"/>
                <w:szCs w:val="21"/>
              </w:rPr>
              <w:t>职务</w:t>
            </w:r>
          </w:p>
        </w:tc>
        <w:tc>
          <w:tcPr>
            <w:tcW w:w="1930" w:type="dxa"/>
            <w:shd w:val="clear" w:color="auto" w:fill="E6E6E6"/>
            <w:vAlign w:val="center"/>
          </w:tcPr>
          <w:p w:rsidR="00206827" w:rsidRDefault="00C227BB">
            <w:pPr>
              <w:spacing w:before="100" w:beforeAutospacing="1" w:after="100" w:afterAutospacing="1" w:line="280" w:lineRule="exact"/>
              <w:jc w:val="center"/>
              <w:rPr>
                <w:rStyle w:val="a6"/>
                <w:rFonts w:ascii="微软雅黑" w:eastAsia="微软雅黑" w:hAnsi="微软雅黑"/>
                <w:b w:val="0"/>
                <w:bCs w:val="0"/>
                <w:szCs w:val="21"/>
              </w:rPr>
            </w:pPr>
            <w:r>
              <w:rPr>
                <w:rStyle w:val="a6"/>
                <w:rFonts w:ascii="微软雅黑" w:eastAsia="微软雅黑" w:hAnsi="微软雅黑" w:hint="eastAsia"/>
                <w:b w:val="0"/>
                <w:bCs w:val="0"/>
                <w:szCs w:val="21"/>
              </w:rPr>
              <w:t>手</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机</w:t>
            </w:r>
          </w:p>
        </w:tc>
        <w:tc>
          <w:tcPr>
            <w:tcW w:w="4320" w:type="dxa"/>
            <w:gridSpan w:val="3"/>
            <w:shd w:val="clear" w:color="auto" w:fill="E6E6E6"/>
            <w:vAlign w:val="center"/>
          </w:tcPr>
          <w:p w:rsidR="00206827" w:rsidRDefault="00C227BB">
            <w:pPr>
              <w:spacing w:before="100" w:beforeAutospacing="1" w:after="100" w:afterAutospacing="1" w:line="280" w:lineRule="exact"/>
              <w:jc w:val="center"/>
              <w:rPr>
                <w:rStyle w:val="a6"/>
                <w:rFonts w:ascii="微软雅黑" w:eastAsia="微软雅黑" w:hAnsi="微软雅黑"/>
                <w:b w:val="0"/>
                <w:bCs w:val="0"/>
                <w:szCs w:val="21"/>
              </w:rPr>
            </w:pPr>
            <w:r>
              <w:rPr>
                <w:rStyle w:val="a6"/>
                <w:rFonts w:ascii="微软雅黑" w:eastAsia="微软雅黑" w:hAnsi="微软雅黑"/>
                <w:b w:val="0"/>
                <w:bCs w:val="0"/>
                <w:szCs w:val="21"/>
              </w:rPr>
              <w:t>E-mail</w:t>
            </w:r>
          </w:p>
        </w:tc>
      </w:tr>
      <w:tr w:rsidR="00206827">
        <w:trPr>
          <w:cantSplit/>
          <w:trHeight w:hRule="exact" w:val="567"/>
          <w:jc w:val="center"/>
        </w:trPr>
        <w:tc>
          <w:tcPr>
            <w:tcW w:w="1198" w:type="dxa"/>
            <w:vMerge/>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c>
          <w:tcPr>
            <w:tcW w:w="1610" w:type="dxa"/>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c>
          <w:tcPr>
            <w:tcW w:w="1670" w:type="dxa"/>
            <w:gridSpan w:val="3"/>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c>
          <w:tcPr>
            <w:tcW w:w="1930" w:type="dxa"/>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c>
          <w:tcPr>
            <w:tcW w:w="4320" w:type="dxa"/>
            <w:gridSpan w:val="3"/>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r>
      <w:tr w:rsidR="00206827">
        <w:trPr>
          <w:cantSplit/>
          <w:trHeight w:hRule="exact" w:val="567"/>
          <w:jc w:val="center"/>
        </w:trPr>
        <w:tc>
          <w:tcPr>
            <w:tcW w:w="1198" w:type="dxa"/>
            <w:vMerge/>
            <w:vAlign w:val="center"/>
          </w:tcPr>
          <w:p w:rsidR="00206827" w:rsidRDefault="00206827">
            <w:pPr>
              <w:spacing w:before="100" w:beforeAutospacing="1" w:after="100" w:afterAutospacing="1" w:line="280" w:lineRule="exact"/>
              <w:rPr>
                <w:rFonts w:ascii="微软雅黑" w:eastAsia="微软雅黑" w:hAnsi="微软雅黑"/>
                <w:szCs w:val="21"/>
              </w:rPr>
            </w:pPr>
          </w:p>
        </w:tc>
        <w:tc>
          <w:tcPr>
            <w:tcW w:w="1610" w:type="dxa"/>
            <w:vAlign w:val="center"/>
          </w:tcPr>
          <w:p w:rsidR="00206827" w:rsidRDefault="00206827">
            <w:pPr>
              <w:pStyle w:val="ParaCharCharCharChar"/>
              <w:spacing w:before="100" w:beforeAutospacing="1" w:after="100" w:afterAutospacing="1" w:line="280" w:lineRule="exact"/>
              <w:rPr>
                <w:rStyle w:val="a6"/>
                <w:rFonts w:ascii="微软雅黑" w:eastAsia="微软雅黑" w:hAnsi="微软雅黑"/>
                <w:b w:val="0"/>
                <w:bCs w:val="0"/>
              </w:rPr>
            </w:pPr>
          </w:p>
        </w:tc>
        <w:tc>
          <w:tcPr>
            <w:tcW w:w="1670" w:type="dxa"/>
            <w:gridSpan w:val="3"/>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c>
          <w:tcPr>
            <w:tcW w:w="1930" w:type="dxa"/>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c>
          <w:tcPr>
            <w:tcW w:w="4320" w:type="dxa"/>
            <w:gridSpan w:val="3"/>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r>
      <w:tr w:rsidR="00206827">
        <w:trPr>
          <w:cantSplit/>
          <w:trHeight w:hRule="exact" w:val="567"/>
          <w:jc w:val="center"/>
        </w:trPr>
        <w:tc>
          <w:tcPr>
            <w:tcW w:w="1198" w:type="dxa"/>
            <w:vMerge/>
            <w:vAlign w:val="center"/>
          </w:tcPr>
          <w:p w:rsidR="00206827" w:rsidRDefault="00206827">
            <w:pPr>
              <w:spacing w:before="100" w:beforeAutospacing="1" w:after="100" w:afterAutospacing="1" w:line="280" w:lineRule="exact"/>
              <w:rPr>
                <w:rFonts w:ascii="微软雅黑" w:eastAsia="微软雅黑" w:hAnsi="微软雅黑"/>
                <w:szCs w:val="21"/>
              </w:rPr>
            </w:pPr>
          </w:p>
        </w:tc>
        <w:tc>
          <w:tcPr>
            <w:tcW w:w="1610" w:type="dxa"/>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c>
          <w:tcPr>
            <w:tcW w:w="1670" w:type="dxa"/>
            <w:gridSpan w:val="3"/>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c>
          <w:tcPr>
            <w:tcW w:w="1930" w:type="dxa"/>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c>
          <w:tcPr>
            <w:tcW w:w="4320" w:type="dxa"/>
            <w:gridSpan w:val="3"/>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r>
      <w:tr w:rsidR="00206827">
        <w:trPr>
          <w:cantSplit/>
          <w:trHeight w:hRule="exact" w:val="567"/>
          <w:jc w:val="center"/>
        </w:trPr>
        <w:tc>
          <w:tcPr>
            <w:tcW w:w="1198" w:type="dxa"/>
            <w:vMerge/>
            <w:vAlign w:val="center"/>
          </w:tcPr>
          <w:p w:rsidR="00206827" w:rsidRDefault="00206827">
            <w:pPr>
              <w:spacing w:before="100" w:beforeAutospacing="1" w:after="100" w:afterAutospacing="1" w:line="280" w:lineRule="exact"/>
              <w:rPr>
                <w:rFonts w:ascii="微软雅黑" w:eastAsia="微软雅黑" w:hAnsi="微软雅黑"/>
                <w:szCs w:val="21"/>
              </w:rPr>
            </w:pPr>
          </w:p>
        </w:tc>
        <w:tc>
          <w:tcPr>
            <w:tcW w:w="1610" w:type="dxa"/>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c>
          <w:tcPr>
            <w:tcW w:w="1670" w:type="dxa"/>
            <w:gridSpan w:val="3"/>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c>
          <w:tcPr>
            <w:tcW w:w="1930" w:type="dxa"/>
            <w:vAlign w:val="center"/>
          </w:tcPr>
          <w:p w:rsidR="00206827" w:rsidRDefault="00206827">
            <w:pPr>
              <w:spacing w:before="100" w:beforeAutospacing="1" w:after="100" w:afterAutospacing="1" w:line="280" w:lineRule="exact"/>
              <w:jc w:val="center"/>
              <w:rPr>
                <w:rStyle w:val="a6"/>
                <w:rFonts w:ascii="微软雅黑" w:eastAsia="微软雅黑" w:hAnsi="微软雅黑"/>
                <w:b w:val="0"/>
                <w:bCs w:val="0"/>
                <w:szCs w:val="21"/>
              </w:rPr>
            </w:pPr>
          </w:p>
        </w:tc>
        <w:tc>
          <w:tcPr>
            <w:tcW w:w="4320" w:type="dxa"/>
            <w:gridSpan w:val="3"/>
            <w:vAlign w:val="center"/>
          </w:tcPr>
          <w:p w:rsidR="00206827" w:rsidRDefault="00206827">
            <w:pPr>
              <w:spacing w:before="100" w:beforeAutospacing="1" w:after="100" w:afterAutospacing="1" w:line="280" w:lineRule="exact"/>
              <w:rPr>
                <w:rStyle w:val="a6"/>
                <w:rFonts w:ascii="微软雅黑" w:eastAsia="微软雅黑" w:hAnsi="微软雅黑"/>
                <w:b w:val="0"/>
                <w:bCs w:val="0"/>
                <w:szCs w:val="21"/>
              </w:rPr>
            </w:pPr>
          </w:p>
        </w:tc>
      </w:tr>
      <w:tr w:rsidR="00206827">
        <w:trPr>
          <w:cantSplit/>
          <w:trHeight w:hRule="exact" w:val="937"/>
          <w:jc w:val="center"/>
        </w:trPr>
        <w:tc>
          <w:tcPr>
            <w:tcW w:w="10728" w:type="dxa"/>
            <w:gridSpan w:val="9"/>
            <w:tcBorders>
              <w:bottom w:val="thickThinSmallGap" w:sz="12" w:space="0" w:color="auto"/>
            </w:tcBorders>
            <w:vAlign w:val="center"/>
          </w:tcPr>
          <w:p w:rsidR="00206827" w:rsidRDefault="00C227BB">
            <w:pPr>
              <w:spacing w:before="100" w:beforeAutospacing="1" w:after="100" w:afterAutospacing="1" w:line="280" w:lineRule="exact"/>
              <w:rPr>
                <w:rStyle w:val="a6"/>
                <w:rFonts w:ascii="微软雅黑" w:eastAsia="微软雅黑" w:hAnsi="微软雅黑"/>
                <w:b w:val="0"/>
                <w:bCs w:val="0"/>
                <w:szCs w:val="21"/>
              </w:rPr>
            </w:pPr>
            <w:r>
              <w:rPr>
                <w:rStyle w:val="a6"/>
                <w:rFonts w:ascii="微软雅黑" w:eastAsia="微软雅黑" w:hAnsi="微软雅黑" w:hint="eastAsia"/>
                <w:b w:val="0"/>
                <w:bCs w:val="0"/>
                <w:szCs w:val="21"/>
              </w:rPr>
              <w:t>参会人数：</w:t>
            </w:r>
            <w:r>
              <w:rPr>
                <w:rStyle w:val="a6"/>
                <w:rFonts w:ascii="微软雅黑" w:eastAsia="微软雅黑" w:hAnsi="微软雅黑"/>
                <w:b w:val="0"/>
                <w:bCs w:val="0"/>
                <w:szCs w:val="21"/>
              </w:rPr>
              <w:t>_________</w:t>
            </w:r>
            <w:r>
              <w:rPr>
                <w:rStyle w:val="a6"/>
                <w:rFonts w:ascii="微软雅黑" w:eastAsia="微软雅黑" w:hAnsi="微软雅黑" w:hint="eastAsia"/>
                <w:b w:val="0"/>
                <w:bCs w:val="0"/>
                <w:szCs w:val="21"/>
              </w:rPr>
              <w:t>人，费用合计：</w:t>
            </w:r>
            <w:r>
              <w:rPr>
                <w:rStyle w:val="a6"/>
                <w:rFonts w:ascii="微软雅黑" w:eastAsia="微软雅黑" w:hAnsi="微软雅黑"/>
                <w:b w:val="0"/>
                <w:bCs w:val="0"/>
                <w:szCs w:val="21"/>
              </w:rPr>
              <w:t>_________</w:t>
            </w:r>
            <w:r>
              <w:rPr>
                <w:rStyle w:val="a6"/>
                <w:rFonts w:ascii="微软雅黑" w:eastAsia="微软雅黑" w:hAnsi="微软雅黑" w:hint="eastAsia"/>
                <w:b w:val="0"/>
                <w:bCs w:val="0"/>
                <w:szCs w:val="21"/>
              </w:rPr>
              <w:t>元；</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付款方式：□</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转帐</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现金</w:t>
            </w:r>
          </w:p>
          <w:p w:rsidR="00206827" w:rsidRDefault="00C227BB">
            <w:pPr>
              <w:spacing w:before="100" w:beforeAutospacing="1" w:after="100" w:afterAutospacing="1" w:line="280" w:lineRule="exact"/>
              <w:rPr>
                <w:rStyle w:val="a6"/>
                <w:rFonts w:ascii="微软雅黑" w:eastAsia="微软雅黑" w:hAnsi="微软雅黑"/>
                <w:b w:val="0"/>
                <w:bCs w:val="0"/>
                <w:szCs w:val="21"/>
              </w:rPr>
            </w:pPr>
            <w:r>
              <w:rPr>
                <w:rStyle w:val="a6"/>
                <w:rFonts w:ascii="微软雅黑" w:eastAsia="微软雅黑" w:hAnsi="微软雅黑" w:hint="eastAsia"/>
                <w:b w:val="0"/>
                <w:bCs w:val="0"/>
                <w:szCs w:val="21"/>
              </w:rPr>
              <w:t>发票类别：</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增值税普通发票</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w:t>
            </w:r>
            <w:r>
              <w:rPr>
                <w:rStyle w:val="a6"/>
                <w:rFonts w:ascii="微软雅黑" w:eastAsia="微软雅黑" w:hAnsi="微软雅黑"/>
                <w:b w:val="0"/>
                <w:bCs w:val="0"/>
                <w:szCs w:val="21"/>
              </w:rPr>
              <w:t xml:space="preserve"> </w:t>
            </w:r>
            <w:r>
              <w:rPr>
                <w:rStyle w:val="a6"/>
                <w:rFonts w:ascii="微软雅黑" w:eastAsia="微软雅黑" w:hAnsi="微软雅黑" w:hint="eastAsia"/>
                <w:b w:val="0"/>
                <w:bCs w:val="0"/>
                <w:szCs w:val="21"/>
              </w:rPr>
              <w:t>增值税专用发票（需提供一般纳税人开票资料）</w:t>
            </w:r>
          </w:p>
        </w:tc>
      </w:tr>
    </w:tbl>
    <w:p w:rsidR="00206827" w:rsidRDefault="00C227BB">
      <w:pPr>
        <w:spacing w:line="240" w:lineRule="exact"/>
        <w:ind w:leftChars="-514" w:left="-1079" w:firstLineChars="159" w:firstLine="334"/>
        <w:jc w:val="center"/>
        <w:rPr>
          <w:rFonts w:ascii="微软雅黑" w:eastAsia="微软雅黑" w:hAnsi="微软雅黑"/>
          <w:color w:val="808080"/>
          <w:szCs w:val="21"/>
        </w:rPr>
      </w:pPr>
      <w:r>
        <w:rPr>
          <w:rFonts w:ascii="微软雅黑" w:eastAsia="微软雅黑" w:hAnsi="微软雅黑"/>
          <w:color w:val="808080"/>
          <w:szCs w:val="21"/>
        </w:rPr>
        <w:t>----------------------------------------------------------------------------------</w:t>
      </w:r>
    </w:p>
    <w:p w:rsidR="00206827" w:rsidRDefault="00206827">
      <w:pPr>
        <w:spacing w:line="540" w:lineRule="exact"/>
        <w:jc w:val="left"/>
        <w:rPr>
          <w:rFonts w:asciiTheme="minorEastAsia" w:hAnsiTheme="minorEastAsia" w:cstheme="minorEastAsia"/>
          <w:b/>
          <w:bCs/>
          <w:sz w:val="24"/>
        </w:rPr>
      </w:pPr>
    </w:p>
    <w:sectPr w:rsidR="00206827" w:rsidSect="002137FA">
      <w:headerReference w:type="default" r:id="rId9"/>
      <w:footerReference w:type="default" r:id="rId10"/>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0F" w:rsidRDefault="0033740F">
      <w:r>
        <w:separator/>
      </w:r>
    </w:p>
  </w:endnote>
  <w:endnote w:type="continuationSeparator" w:id="0">
    <w:p w:rsidR="0033740F" w:rsidRDefault="00337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27" w:rsidRDefault="004744A8">
    <w:pPr>
      <w:pStyle w:val="a4"/>
    </w:pPr>
    <w:r>
      <w:rPr>
        <w:noProof/>
      </w:rPr>
      <w:pict>
        <v:shapetype id="_x0000_t202" coordsize="21600,21600" o:spt="202" path="m,l,21600r21600,l21600,xe">
          <v:stroke joinstyle="miter"/>
          <v:path gradientshapeok="t" o:connecttype="rect"/>
        </v:shapetype>
        <v:shape id="Text Box 3" o:spid="_x0000_s4099" type="#_x0000_t202" style="position:absolute;margin-left:55.5pt;margin-top:7.65pt;width:5in;height:59.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" filled="f" stroked="f">
          <v:textbox>
            <w:txbxContent>
              <w:p w:rsidR="00206827" w:rsidRDefault="00206827">
                <w:pPr>
                  <w:rPr>
                    <w:rFonts w:ascii="微软雅黑" w:eastAsia="微软雅黑" w:hAnsi="微软雅黑" w:cs="微软雅黑"/>
                    <w:szCs w:val="21"/>
                  </w:rPr>
                </w:pPr>
              </w:p>
            </w:txbxContent>
          </v:textbox>
        </v:shape>
      </w:pict>
    </w:r>
    <w:r>
      <w:rPr>
        <w:noProof/>
      </w:rPr>
      <w:pict>
        <v:rect id="Rectangle 5" o:spid="_x0000_s4098" style="position:absolute;margin-left:-86.3pt;margin-top:44.85pt;width:579.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" filled="f" stroked="f">
          <v:textbox>
            <w:txbxContent>
              <w:p w:rsidR="00206827" w:rsidRDefault="00206827">
                <w:pPr>
                  <w:jc w:val="center"/>
                </w:pPr>
              </w:p>
            </w:txbxContent>
          </v:textbox>
        </v:rect>
      </w:pict>
    </w:r>
    <w:r>
      <w:rPr>
        <w:noProof/>
      </w:rPr>
      <w:pict>
        <v:rect id="Rectangle 6" o:spid="_x0000_s4097" style="position:absolute;margin-left:-31.6pt;margin-top:-12.15pt;width:474.75pt;height:2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" filled="f" stroked="f">
          <v:textbox>
            <w:txbxContent>
              <w:p w:rsidR="00206827" w:rsidRDefault="00206827">
                <w:pPr>
                  <w:jc w:val="cente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0F" w:rsidRDefault="0033740F">
      <w:r>
        <w:separator/>
      </w:r>
    </w:p>
  </w:footnote>
  <w:footnote w:type="continuationSeparator" w:id="0">
    <w:p w:rsidR="0033740F" w:rsidRDefault="00337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827" w:rsidRDefault="00C227BB">
    <w:pPr>
      <w:pStyle w:val="a5"/>
      <w:spacing w:after="12"/>
      <w:jc w:val="right"/>
      <w:rPr>
        <w:rFonts w:ascii="宋体" w:hAnsi="宋体"/>
        <w:color w:val="0000FF"/>
      </w:rPr>
    </w:pPr>
    <w:r>
      <w:rPr>
        <w:noProof/>
      </w:rPr>
      <w:drawing>
        <wp:anchor distT="0" distB="0" distL="114300" distR="114300" simplePos="0" relativeHeight="251664384" behindDoc="0" locked="0" layoutInCell="1" allowOverlap="1">
          <wp:simplePos x="0" y="0"/>
          <wp:positionH relativeFrom="column">
            <wp:posOffset>-68580</wp:posOffset>
          </wp:positionH>
          <wp:positionV relativeFrom="paragraph">
            <wp:posOffset>-36195</wp:posOffset>
          </wp:positionV>
          <wp:extent cx="1668780" cy="459740"/>
          <wp:effectExtent l="0" t="0" r="7620" b="1651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668780" cy="459740"/>
                  </a:xfrm>
                  <a:prstGeom prst="rect">
                    <a:avLst/>
                  </a:prstGeom>
                  <a:noFill/>
                  <a:ln>
                    <a:noFill/>
                  </a:ln>
                </pic:spPr>
              </pic:pic>
            </a:graphicData>
          </a:graphic>
        </wp:anchor>
      </w:drawing>
    </w:r>
    <w:r>
      <w:t xml:space="preserve">                                      </w:t>
    </w:r>
    <w:r>
      <w:rPr>
        <w:rFonts w:ascii="宋体" w:hAnsi="宋体" w:hint="eastAsia"/>
        <w:color w:val="0000FF"/>
      </w:rPr>
      <w:t>热线：</w:t>
    </w:r>
    <w:r>
      <w:rPr>
        <w:rFonts w:ascii="宋体" w:hAnsi="宋体"/>
        <w:color w:val="0000FF"/>
      </w:rPr>
      <w:t xml:space="preserve">400 6364 168  </w:t>
    </w:r>
    <w:r>
      <w:rPr>
        <w:rFonts w:ascii="宋体" w:hAnsi="宋体" w:hint="eastAsia"/>
        <w:color w:val="0000FF"/>
      </w:rPr>
      <w:t>一六八培训网</w:t>
    </w:r>
    <w:r>
      <w:rPr>
        <w:rFonts w:ascii="宋体" w:hAnsi="宋体"/>
        <w:color w:val="0000FF"/>
      </w:rPr>
      <w:t>(www.peixun168.com)</w:t>
    </w:r>
  </w:p>
  <w:p w:rsidR="00206827" w:rsidRDefault="00C227BB">
    <w:pPr>
      <w:pStyle w:val="a5"/>
      <w:spacing w:after="12"/>
      <w:jc w:val="right"/>
      <w:rPr>
        <w:rFonts w:ascii="宋体" w:hAnsi="宋体"/>
        <w:color w:val="0000FF"/>
      </w:rPr>
    </w:pPr>
    <w:r>
      <w:rPr>
        <w:rFonts w:ascii="宋体" w:hAnsi="宋体"/>
        <w:color w:val="0000FF"/>
      </w:rPr>
      <w:t xml:space="preserve">                                    </w:t>
    </w:r>
    <w:r>
      <w:rPr>
        <w:rFonts w:ascii="宋体" w:hAnsi="宋体" w:hint="eastAsia"/>
        <w:color w:val="0000FF"/>
      </w:rPr>
      <w:t>电话：</w:t>
    </w:r>
    <w:r>
      <w:rPr>
        <w:rFonts w:ascii="宋体" w:hAnsi="宋体"/>
        <w:color w:val="0000FF"/>
      </w:rPr>
      <w:t xml:space="preserve"> (021)</w:t>
    </w:r>
    <w:r>
      <w:t xml:space="preserve"> </w:t>
    </w:r>
    <w:r>
      <w:rPr>
        <w:rFonts w:ascii="宋体" w:hAnsi="宋体"/>
        <w:color w:val="0000FF"/>
      </w:rPr>
      <w:t xml:space="preserve">51872644 (0755) 86154193 </w:t>
    </w:r>
  </w:p>
  <w:p w:rsidR="00206827" w:rsidRDefault="00C227BB">
    <w:pPr>
      <w:pStyle w:val="a5"/>
      <w:spacing w:after="12"/>
      <w:jc w:val="right"/>
    </w:pPr>
    <w:r>
      <w:rPr>
        <w:rFonts w:ascii="宋体" w:hAnsi="宋体"/>
        <w:color w:val="0000FF"/>
      </w:rPr>
      <w:t xml:space="preserve">                                    </w:t>
    </w:r>
    <w:r>
      <w:rPr>
        <w:rFonts w:ascii="宋体" w:hAnsi="宋体" w:hint="eastAsia"/>
        <w:color w:val="0000FF"/>
      </w:rPr>
      <w:t>传真：</w:t>
    </w:r>
    <w:r>
      <w:rPr>
        <w:rFonts w:ascii="宋体" w:hAnsi="宋体"/>
        <w:color w:val="0000FF"/>
      </w:rPr>
      <w:t xml:space="preserve"> (021)</w:t>
    </w:r>
    <w:r>
      <w:t xml:space="preserve"> </w:t>
    </w:r>
    <w:r>
      <w:rPr>
        <w:rFonts w:ascii="宋体" w:hAnsi="宋体"/>
        <w:color w:val="0000FF"/>
      </w:rPr>
      <w:t>51012039 (0755) 86154195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483D"/>
    <w:rsid w:val="00020E2F"/>
    <w:rsid w:val="000236CD"/>
    <w:rsid w:val="00025AA9"/>
    <w:rsid w:val="00065C60"/>
    <w:rsid w:val="00093115"/>
    <w:rsid w:val="000D27C0"/>
    <w:rsid w:val="000D47AC"/>
    <w:rsid w:val="000F11AD"/>
    <w:rsid w:val="00114331"/>
    <w:rsid w:val="00143085"/>
    <w:rsid w:val="00144D94"/>
    <w:rsid w:val="001557C7"/>
    <w:rsid w:val="001B2333"/>
    <w:rsid w:val="001D59DE"/>
    <w:rsid w:val="00204912"/>
    <w:rsid w:val="00206827"/>
    <w:rsid w:val="002137FA"/>
    <w:rsid w:val="002154C3"/>
    <w:rsid w:val="00216F19"/>
    <w:rsid w:val="00254078"/>
    <w:rsid w:val="002733C4"/>
    <w:rsid w:val="0027675F"/>
    <w:rsid w:val="002773C2"/>
    <w:rsid w:val="00281C9B"/>
    <w:rsid w:val="00282DDB"/>
    <w:rsid w:val="002A4A3D"/>
    <w:rsid w:val="002B2141"/>
    <w:rsid w:val="002B432E"/>
    <w:rsid w:val="002E7EA2"/>
    <w:rsid w:val="00324E74"/>
    <w:rsid w:val="00330B2A"/>
    <w:rsid w:val="0033740F"/>
    <w:rsid w:val="00347A5F"/>
    <w:rsid w:val="00380FBE"/>
    <w:rsid w:val="004211A4"/>
    <w:rsid w:val="00427DA2"/>
    <w:rsid w:val="00431731"/>
    <w:rsid w:val="004530E9"/>
    <w:rsid w:val="00463BC3"/>
    <w:rsid w:val="004744A8"/>
    <w:rsid w:val="00487DCB"/>
    <w:rsid w:val="004B3FAD"/>
    <w:rsid w:val="004B483D"/>
    <w:rsid w:val="004D3E27"/>
    <w:rsid w:val="004E4DD2"/>
    <w:rsid w:val="00514901"/>
    <w:rsid w:val="00517277"/>
    <w:rsid w:val="005968F9"/>
    <w:rsid w:val="005E75C7"/>
    <w:rsid w:val="005F0D84"/>
    <w:rsid w:val="00634D71"/>
    <w:rsid w:val="006C6F32"/>
    <w:rsid w:val="006E7FBF"/>
    <w:rsid w:val="006F7178"/>
    <w:rsid w:val="00755A85"/>
    <w:rsid w:val="007B68B9"/>
    <w:rsid w:val="007F677E"/>
    <w:rsid w:val="00823687"/>
    <w:rsid w:val="00837E93"/>
    <w:rsid w:val="00846756"/>
    <w:rsid w:val="0086764C"/>
    <w:rsid w:val="008C4DAC"/>
    <w:rsid w:val="008C5842"/>
    <w:rsid w:val="00903A94"/>
    <w:rsid w:val="00903E90"/>
    <w:rsid w:val="00956BE2"/>
    <w:rsid w:val="009719AE"/>
    <w:rsid w:val="009A4921"/>
    <w:rsid w:val="009C2BC1"/>
    <w:rsid w:val="009F555B"/>
    <w:rsid w:val="00A15BC4"/>
    <w:rsid w:val="00A23EA7"/>
    <w:rsid w:val="00A628C7"/>
    <w:rsid w:val="00A733B7"/>
    <w:rsid w:val="00A94E69"/>
    <w:rsid w:val="00AB43FB"/>
    <w:rsid w:val="00AC7ED1"/>
    <w:rsid w:val="00B132BF"/>
    <w:rsid w:val="00B435BD"/>
    <w:rsid w:val="00B545A7"/>
    <w:rsid w:val="00BE3AF3"/>
    <w:rsid w:val="00C14A85"/>
    <w:rsid w:val="00C227BB"/>
    <w:rsid w:val="00C62077"/>
    <w:rsid w:val="00C707B9"/>
    <w:rsid w:val="00C715F0"/>
    <w:rsid w:val="00C76020"/>
    <w:rsid w:val="00C84FCB"/>
    <w:rsid w:val="00C86EC3"/>
    <w:rsid w:val="00CB585A"/>
    <w:rsid w:val="00CD4CA8"/>
    <w:rsid w:val="00CE5628"/>
    <w:rsid w:val="00CF4460"/>
    <w:rsid w:val="00D004CA"/>
    <w:rsid w:val="00D054E5"/>
    <w:rsid w:val="00D056E5"/>
    <w:rsid w:val="00D15FD7"/>
    <w:rsid w:val="00D56C18"/>
    <w:rsid w:val="00D73805"/>
    <w:rsid w:val="00D863E0"/>
    <w:rsid w:val="00D90381"/>
    <w:rsid w:val="00DC793C"/>
    <w:rsid w:val="00DD79C4"/>
    <w:rsid w:val="00DE2CF6"/>
    <w:rsid w:val="00DF09AE"/>
    <w:rsid w:val="00E0213B"/>
    <w:rsid w:val="00E21301"/>
    <w:rsid w:val="00E2237A"/>
    <w:rsid w:val="00E32C2C"/>
    <w:rsid w:val="00E55221"/>
    <w:rsid w:val="00EB7374"/>
    <w:rsid w:val="00EE6EF9"/>
    <w:rsid w:val="00F30D0B"/>
    <w:rsid w:val="00F37370"/>
    <w:rsid w:val="00F45274"/>
    <w:rsid w:val="00F6060F"/>
    <w:rsid w:val="00F6293C"/>
    <w:rsid w:val="00FA70C3"/>
    <w:rsid w:val="00FE0D35"/>
    <w:rsid w:val="00FE0E7A"/>
    <w:rsid w:val="00FF5345"/>
    <w:rsid w:val="01331E45"/>
    <w:rsid w:val="09C05201"/>
    <w:rsid w:val="105000F8"/>
    <w:rsid w:val="13C86BE9"/>
    <w:rsid w:val="1807409F"/>
    <w:rsid w:val="184123F5"/>
    <w:rsid w:val="25CD7544"/>
    <w:rsid w:val="298B645C"/>
    <w:rsid w:val="29EB12F2"/>
    <w:rsid w:val="29EF3210"/>
    <w:rsid w:val="307820FC"/>
    <w:rsid w:val="384F5916"/>
    <w:rsid w:val="408B1CD0"/>
    <w:rsid w:val="411E1D16"/>
    <w:rsid w:val="49451AB7"/>
    <w:rsid w:val="515C3FAB"/>
    <w:rsid w:val="52A9707A"/>
    <w:rsid w:val="562A7E09"/>
    <w:rsid w:val="789A5BE4"/>
    <w:rsid w:val="7F873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7F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137FA"/>
    <w:rPr>
      <w:sz w:val="18"/>
      <w:szCs w:val="18"/>
    </w:rPr>
  </w:style>
  <w:style w:type="paragraph" w:styleId="a4">
    <w:name w:val="footer"/>
    <w:basedOn w:val="a"/>
    <w:qFormat/>
    <w:rsid w:val="002137FA"/>
    <w:pPr>
      <w:tabs>
        <w:tab w:val="center" w:pos="4153"/>
        <w:tab w:val="right" w:pos="8306"/>
      </w:tabs>
      <w:snapToGrid w:val="0"/>
      <w:jc w:val="left"/>
    </w:pPr>
    <w:rPr>
      <w:sz w:val="18"/>
    </w:rPr>
  </w:style>
  <w:style w:type="paragraph" w:styleId="a5">
    <w:name w:val="header"/>
    <w:basedOn w:val="a"/>
    <w:qFormat/>
    <w:rsid w:val="002137F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6">
    <w:name w:val="Strong"/>
    <w:qFormat/>
    <w:rsid w:val="002137FA"/>
    <w:rPr>
      <w:b/>
      <w:bCs/>
    </w:rPr>
  </w:style>
  <w:style w:type="character" w:styleId="a7">
    <w:name w:val="Hyperlink"/>
    <w:basedOn w:val="a0"/>
    <w:qFormat/>
    <w:rsid w:val="002137FA"/>
    <w:rPr>
      <w:color w:val="5F5F5F" w:themeColor="hyperlink"/>
      <w:u w:val="single"/>
    </w:rPr>
  </w:style>
  <w:style w:type="paragraph" w:customStyle="1" w:styleId="1">
    <w:name w:val="列出段落1"/>
    <w:basedOn w:val="a"/>
    <w:uiPriority w:val="34"/>
    <w:unhideWhenUsed/>
    <w:qFormat/>
    <w:rsid w:val="002137FA"/>
    <w:pPr>
      <w:ind w:firstLineChars="200" w:firstLine="420"/>
    </w:pPr>
  </w:style>
  <w:style w:type="character" w:customStyle="1" w:styleId="Char">
    <w:name w:val="批注框文本 Char"/>
    <w:basedOn w:val="a0"/>
    <w:link w:val="a3"/>
    <w:rsid w:val="002137FA"/>
    <w:rPr>
      <w:kern w:val="2"/>
      <w:sz w:val="18"/>
      <w:szCs w:val="18"/>
    </w:rPr>
  </w:style>
  <w:style w:type="paragraph" w:customStyle="1" w:styleId="2">
    <w:name w:val="列出段落2"/>
    <w:basedOn w:val="a"/>
    <w:rsid w:val="002137FA"/>
    <w:pPr>
      <w:ind w:firstLineChars="200" w:firstLine="420"/>
    </w:pPr>
    <w:rPr>
      <w:rFonts w:ascii="Calibri" w:eastAsia="宋体" w:hAnsi="Calibri" w:cs="Times New Roman"/>
      <w:szCs w:val="22"/>
    </w:rPr>
  </w:style>
  <w:style w:type="paragraph" w:styleId="a8">
    <w:name w:val="List Paragraph"/>
    <w:basedOn w:val="a"/>
    <w:uiPriority w:val="99"/>
    <w:unhideWhenUsed/>
    <w:rsid w:val="002137FA"/>
    <w:pPr>
      <w:ind w:firstLineChars="200" w:firstLine="420"/>
    </w:pPr>
  </w:style>
  <w:style w:type="paragraph" w:customStyle="1" w:styleId="ParaCharCharCharChar">
    <w:name w:val="默认段落字体 Para Char Char Char Char"/>
    <w:basedOn w:val="a"/>
    <w:rsid w:val="002137F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eixun168.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1228</Words>
  <Characters>7005</Characters>
  <Application>Microsoft Office Word</Application>
  <DocSecurity>0</DocSecurity>
  <Lines>58</Lines>
  <Paragraphs>16</Paragraphs>
  <ScaleCrop>false</ScaleCrop>
  <Company>ITianKong.Com</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杜建婷</dc:creator>
  <cp:lastModifiedBy>Administrator</cp:lastModifiedBy>
  <cp:revision>18</cp:revision>
  <dcterms:created xsi:type="dcterms:W3CDTF">2019-03-06T07:32:00Z</dcterms:created>
  <dcterms:modified xsi:type="dcterms:W3CDTF">2021-04-06T07:56:00Z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