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新旧QC七大工具（十四个质量工具）</w:t>
      </w: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2021年5月14~15日（星期五 ~ 星期六）/上 海</w:t>
      </w:r>
    </w:p>
    <w:p>
      <w:pPr>
        <w:spacing w:line="480" w:lineRule="exact"/>
        <w:ind w:firstLine="1891" w:firstLineChars="900"/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2021年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月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15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~1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日（星期五 ~ 星期六）/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eastAsia="zh-CN"/>
        </w:rPr>
        <w:t>苏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eastAsia="zh-CN"/>
        </w:rPr>
        <w:t>州</w:t>
      </w: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hint="default" w:ascii="Times New Roman" w:hAnsi="Times New Roman" w:eastAsia="微软雅黑" w:cs="Times New Roman"/>
          <w:b/>
          <w:szCs w:val="21"/>
        </w:rPr>
        <w:t>￥3000/人</w:t>
      </w:r>
    </w:p>
    <w:p>
      <w:pPr>
        <w:numPr>
          <w:ilvl w:val="0"/>
          <w:numId w:val="1"/>
        </w:numPr>
        <w:spacing w:line="480" w:lineRule="exact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80" w:lineRule="exact"/>
        <w:textAlignment w:val="baseline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spacing w:line="480" w:lineRule="exact"/>
        <w:textAlignment w:val="baseline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课程目的：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kern w:val="0"/>
          <w:szCs w:val="21"/>
        </w:rPr>
        <w:t>让学员对日常工作中常用的过程数据收集、分类、统计、分析和应用方法的概念进行理解，进而学习QC常用7种工具的原理、应用分析和关键要点，为实际生产过程和质量分析提供最基本的方法。 </w:t>
      </w: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培训方针：</w:t>
      </w:r>
    </w:p>
    <w:p>
      <w:pPr>
        <w:numPr>
          <w:ilvl w:val="0"/>
          <w:numId w:val="1"/>
        </w:num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szCs w:val="21"/>
        </w:rPr>
        <w:t>“培训是解决问题的开端，实践出真知，改善无止境。”</w:t>
      </w: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参训学员：</w:t>
      </w:r>
    </w:p>
    <w:p>
      <w:pPr>
        <w:spacing w:line="480" w:lineRule="exact"/>
        <w:ind w:firstLine="420" w:firstLineChars="200"/>
        <w:rPr>
          <w:rFonts w:hint="default" w:ascii="Times New Roman" w:hAnsi="Times New Roman" w:eastAsia="微软雅黑" w:cs="Times New Roman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szCs w:val="21"/>
        </w:rPr>
        <w:t>制造业生产计划管理人员、物料管理人员、MRP小组人员、物流管理人员以及有志于了解计划与库存控制的人员</w:t>
      </w:r>
    </w:p>
    <w:p>
      <w:pPr>
        <w:spacing w:line="48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课程特色：</w:t>
      </w:r>
    </w:p>
    <w:p>
      <w:pPr>
        <w:jc w:val="lef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微软雅黑" w:cs="Times New Roman"/>
          <w:szCs w:val="21"/>
        </w:rPr>
        <w:t>通过深入浅出、生动幽默的讲解，运用大量鲜活的案例及歌诀化记忆，启发学员系统全面地掌握课程要点；结合前期调研、针对性的练习和课后跟踪，让学员做到知行合一、学以致用。</w:t>
      </w:r>
    </w:p>
    <w:p>
      <w:pPr>
        <w:spacing w:line="480" w:lineRule="exact"/>
        <w:textAlignment w:val="baseline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spacing w:line="480" w:lineRule="exac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-857250</wp:posOffset>
                </wp:positionV>
                <wp:extent cx="297815" cy="4756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756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85pt;margin-top:-67.5pt;height:37.45pt;width:23.45pt;mso-wrap-style:none;z-index:251659264;mso-width-relative:page;mso-height-relative:page;" filled="f" stroked="f" coordsize="21600,21600" o:gfxdata="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TXfBPaAAAADAEAAA8AAAAAAAAAAQAgAAAAIgAAAGRycy9kb3ducmV2Lnht&#10;bFBLAQIUABQAAAAIAIdO4kC641vfvgEAAGMDAAAOAAAAAAAAAAEAIAAAACkBAABkcnMvZTJvRG9j&#10;LnhtbFBLBQYAAAAABgAGAFkBAABZ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575"/>
        <w:gridCol w:w="463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Style w:val="7"/>
                <w:rFonts w:hint="default" w:ascii="Times New Roman" w:hAnsi="Times New Roman" w:eastAsia="微软雅黑" w:cs="Times New Roman"/>
                <w:lang w:bidi="ar"/>
              </w:rPr>
              <w:t>主题/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目标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讲　师</w:t>
            </w:r>
          </w:p>
        </w:tc>
        <w:tc>
          <w:tcPr>
            <w:tcW w:w="23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学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1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课程导入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上班七件事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自我介绍/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1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 w:eastAsia="微软雅黑" w:cs="Times New Roman"/>
                <w:lang w:bidi="ar"/>
              </w:rPr>
              <w:t>新旧</w:t>
            </w: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QC</w:t>
            </w:r>
            <w:r>
              <w:rPr>
                <w:rStyle w:val="11"/>
                <w:rFonts w:hint="default" w:ascii="Times New Roman" w:hAnsi="Times New Roman" w:eastAsia="微软雅黑" w:cs="Times New Roman"/>
                <w:lang w:bidi="ar"/>
              </w:rPr>
              <w:t>手法起源及总体分工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1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问题提出与团队组建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1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4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szCs w:val="22"/>
                <w:lang w:bidi="ar"/>
              </w:rPr>
              <w:t>启动QC应用之旅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47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/>
                <w:color w:val="FF0000"/>
                <w:sz w:val="32"/>
                <w:szCs w:val="32"/>
              </w:rPr>
            </w:pPr>
            <w:r>
              <w:rPr>
                <w:rStyle w:val="12"/>
                <w:rFonts w:hint="default" w:ascii="Times New Roman" w:hAnsi="Times New Roman" w:eastAsia="微软雅黑" w:cs="Times New Roman"/>
                <w:sz w:val="21"/>
                <w:szCs w:val="21"/>
                <w:lang w:bidi="ar"/>
              </w:rPr>
              <w:t>STEP1 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亲和图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亲和图概述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何谓亲和图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思考，练习，提问与回答老师问题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适用范围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亲和图的类型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亲和图应用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亲和图的制作步骤与要点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如何判定亲和性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要点小结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调查表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何谓调查表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思考，练习，提问与回答老师问题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引导学员回忆工作中使用该工具的情况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调查表的类型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调查表的作用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调查表的制作步骤与要点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调查表的应用领域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提问和其他可应用领域扩散引导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排列图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排列图概述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何谓排列图/发展历史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排列图与二八大法则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排列图应用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如何应用排列图聚焦问题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排列图制作要点与注意事项（结合excel）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案例演练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效用讲解和注意事项解说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47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/>
                <w:color w:val="FF0000"/>
                <w:sz w:val="32"/>
                <w:szCs w:val="32"/>
              </w:rPr>
            </w:pPr>
            <w:r>
              <w:rPr>
                <w:rStyle w:val="12"/>
                <w:rFonts w:hint="default" w:ascii="Times New Roman" w:hAnsi="Times New Roman" w:eastAsia="微软雅黑" w:cs="Times New Roman"/>
                <w:sz w:val="21"/>
                <w:szCs w:val="21"/>
                <w:lang w:bidi="ar"/>
              </w:rPr>
              <w:t xml:space="preserve">STEP2 </w:t>
            </w:r>
            <w:r>
              <w:rPr>
                <w:rStyle w:val="12"/>
                <w:rFonts w:hint="default" w:ascii="Times New Roman" w:hAnsi="Times New Roman" w:eastAsia="微软雅黑" w:cs="Times New Roman"/>
                <w:sz w:val="21"/>
                <w:szCs w:val="21"/>
              </w:rPr>
              <w:t>分析问题</w:t>
            </w:r>
            <w:r>
              <w:rPr>
                <w:rStyle w:val="12"/>
                <w:rFonts w:hint="default" w:ascii="Times New Roman" w:hAnsi="Times New Roman" w:eastAsia="微软雅黑" w:cs="Times New Roman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因果图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因果图概述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何谓因果图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功能分类（几种不同的因果图）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如何应用排列图聚焦问题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因果图应用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如何找因果图要解决的问题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因果图制作要点与注意事项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因果图与流程图及5why法灵活应用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关联图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何谓关联图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关联图的适用范围和图例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关联图的应用步骤与要点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关联图的判读方法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关联图的种类和巧用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要点小结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矩阵图</w:t>
            </w:r>
          </w:p>
        </w:tc>
        <w:tc>
          <w:tcPr>
            <w:tcW w:w="1575" w:type="dxa"/>
            <w:vMerge w:val="restar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矩阵图概述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何谓矩阵图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矩阵图的适用范围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矩阵图的种类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矩阵图应用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矩阵图的做法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各种矩阵图的应用案例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要点小结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层别法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层别法概述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何谓层别法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层别法的作用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层别法应用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层别法的应用步骤与主要要点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层别法的应用示图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实际案例示范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应用注意事项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直方图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直方图概述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何谓直方图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直方图的作用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调查表应用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直方图的制作步骤与要点（Excel/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原理讲解）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妙用直方图剖析问题 （辩读）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散布图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散布图概述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何谓散布图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散布图的作用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几种常见的散布图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散布图应用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散布图的绘制（结合EXCEL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巧用散布图确定问题要因 （辩读）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案例研究/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演练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47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/>
                <w:color w:val="FF0000"/>
                <w:sz w:val="32"/>
                <w:szCs w:val="32"/>
              </w:rPr>
            </w:pPr>
            <w:r>
              <w:rPr>
                <w:rStyle w:val="12"/>
                <w:rFonts w:hint="default" w:ascii="Times New Roman" w:hAnsi="Times New Roman" w:eastAsia="微软雅黑" w:cs="Times New Roman"/>
                <w:sz w:val="21"/>
                <w:szCs w:val="21"/>
                <w:lang w:bidi="ar"/>
              </w:rPr>
              <w:t xml:space="preserve">STEP3 解决问题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Style w:val="7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法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何谓PDPC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法的应用范围和分类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法的应用案例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PDPC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法的制作步骤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系统图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何谓系统图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系统图的适用范围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系统图的逻辑和类别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系统图的做法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系统图在功能分析方面的应用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案例研究：用系统图分析问题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箭条图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箭条图概述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何谓箭条图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-496" w:rightChars="-236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练习，提问与回答老师问题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理解箭条图的适用范围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箭条图的特点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箭条图应用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箭条图的作图规则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箭条图的应用符号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案例研究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效用讲解和注意事项解说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趋势图/图表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趋势图/图表概述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何为趋势图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提问，讨论与回答老师问题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趋势图/图表的作用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调查学员企业使用趋势图/图表状况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其他图表示例和应用简介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效用讲解和注意事项解说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47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FF0000"/>
                <w:kern w:val="0"/>
                <w:szCs w:val="21"/>
                <w:lang w:bidi="ar"/>
              </w:rPr>
              <w:t>学以致用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课程总结</w:t>
            </w: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内容小结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PDCA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循环各阶段</w:t>
            </w: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QC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工具的应用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提问与回答老师问题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Style w:val="9"/>
                <w:rFonts w:hint="default" w:ascii="Times New Roman" w:hAnsi="Times New Roman" w:eastAsia="微软雅黑" w:cs="Times New Roman"/>
                <w:lang w:bidi="ar"/>
              </w:rPr>
              <w:t>QC</w:t>
            </w:r>
            <w:r>
              <w:rPr>
                <w:rStyle w:val="10"/>
                <w:rFonts w:hint="default" w:ascii="Times New Roman" w:hAnsi="Times New Roman" w:eastAsia="微软雅黑" w:cs="Times New Roman"/>
                <w:lang w:bidi="ar"/>
              </w:rPr>
              <w:t>工具活用例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回答学员问题及疑点澄清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课程应用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应用过程中可能出现的问题及解决途径</w:t>
            </w:r>
          </w:p>
        </w:tc>
        <w:tc>
          <w:tcPr>
            <w:tcW w:w="234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制订培训后的应用计划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b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1"/>
                <w:lang w:bidi="ar"/>
              </w:rPr>
              <w:t>Q&amp;A</w:t>
            </w:r>
          </w:p>
        </w:tc>
        <w:tc>
          <w:tcPr>
            <w:tcW w:w="234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Cs w:val="21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胡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从事质量相关工作1</w:t>
      </w:r>
      <w:r>
        <w:rPr>
          <w:rFonts w:hint="eastAsia" w:eastAsia="微软雅黑"/>
          <w:color w:val="000000"/>
          <w:szCs w:val="21"/>
        </w:rPr>
        <w:t>7</w:t>
      </w:r>
      <w:r>
        <w:rPr>
          <w:rFonts w:eastAsia="微软雅黑"/>
          <w:color w:val="000000"/>
          <w:szCs w:val="21"/>
        </w:rPr>
        <w:t>年，现任某外资公司质量经理，</w:t>
      </w:r>
      <w:r>
        <w:rPr>
          <w:rFonts w:hint="eastAsia" w:eastAsia="微软雅黑"/>
          <w:color w:val="000000"/>
          <w:szCs w:val="21"/>
        </w:rPr>
        <w:t>国际注册质量总监，</w:t>
      </w:r>
      <w:r>
        <w:rPr>
          <w:rFonts w:eastAsia="微软雅黑"/>
          <w:color w:val="000000"/>
          <w:szCs w:val="21"/>
        </w:rPr>
        <w:t>MBA</w:t>
      </w:r>
      <w:r>
        <w:rPr>
          <w:rFonts w:hint="eastAsia" w:eastAsia="微软雅黑"/>
          <w:color w:val="000000"/>
          <w:szCs w:val="21"/>
        </w:rPr>
        <w:t>，</w:t>
      </w:r>
      <w:r>
        <w:rPr>
          <w:rFonts w:eastAsia="微软雅黑"/>
          <w:color w:val="000000"/>
          <w:szCs w:val="21"/>
        </w:rPr>
        <w:t>机械电子工程专业背景。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从产线质量工程师做起，务实严谨。长期负责质量管理体系的运行与维护、生产线质量的管控和改进</w:t>
      </w:r>
      <w:r>
        <w:rPr>
          <w:rFonts w:hint="eastAsia" w:eastAsia="微软雅黑"/>
          <w:color w:val="000000"/>
          <w:szCs w:val="21"/>
        </w:rPr>
        <w:t>及</w:t>
      </w:r>
      <w:r>
        <w:rPr>
          <w:rFonts w:eastAsia="微软雅黑"/>
          <w:color w:val="000000"/>
          <w:szCs w:val="21"/>
        </w:rPr>
        <w:t>客户质量投诉和审核处理工作</w:t>
      </w:r>
      <w:r>
        <w:rPr>
          <w:rFonts w:hint="eastAsia" w:eastAsia="微软雅黑"/>
          <w:color w:val="000000"/>
          <w:szCs w:val="21"/>
        </w:rPr>
        <w:t>。</w:t>
      </w:r>
      <w:r>
        <w:rPr>
          <w:rFonts w:eastAsia="微软雅黑"/>
          <w:color w:val="000000"/>
          <w:szCs w:val="21"/>
        </w:rPr>
        <w:t>对电子、电气、医疗设备、医疗</w:t>
      </w:r>
      <w:r>
        <w:rPr>
          <w:rFonts w:hint="eastAsia" w:eastAsia="微软雅黑"/>
          <w:color w:val="000000"/>
          <w:szCs w:val="21"/>
        </w:rPr>
        <w:t>和</w:t>
      </w:r>
      <w:r>
        <w:rPr>
          <w:rFonts w:eastAsia="微软雅黑"/>
          <w:color w:val="000000"/>
          <w:szCs w:val="21"/>
        </w:rPr>
        <w:t>环保设备制造行业</w:t>
      </w:r>
      <w:r>
        <w:rPr>
          <w:rFonts w:hint="eastAsia" w:eastAsia="微软雅黑"/>
          <w:color w:val="000000"/>
          <w:szCs w:val="21"/>
        </w:rPr>
        <w:t>的</w:t>
      </w:r>
      <w:r>
        <w:rPr>
          <w:rFonts w:eastAsia="微软雅黑"/>
          <w:color w:val="000000"/>
          <w:szCs w:val="21"/>
        </w:rPr>
        <w:t>工厂生产和管理流程，供应商质量管理</w:t>
      </w:r>
      <w:r>
        <w:rPr>
          <w:rFonts w:hint="eastAsia" w:eastAsia="微软雅黑"/>
          <w:color w:val="000000"/>
          <w:szCs w:val="21"/>
        </w:rPr>
        <w:t>等，具有</w:t>
      </w:r>
      <w:r>
        <w:rPr>
          <w:rFonts w:eastAsia="微软雅黑"/>
          <w:color w:val="000000"/>
          <w:szCs w:val="21"/>
        </w:rPr>
        <w:t>实际的工作经验和深入的理解。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hint="eastAsia" w:eastAsia="微软雅黑"/>
          <w:szCs w:val="21"/>
        </w:rPr>
      </w:pPr>
      <w:r>
        <w:rPr>
          <w:rFonts w:hint="eastAsia" w:eastAsia="微软雅黑"/>
          <w:color w:val="000000"/>
          <w:szCs w:val="21"/>
        </w:rPr>
        <w:t>知名外企6sigma</w:t>
      </w:r>
      <w:r>
        <w:rPr>
          <w:rFonts w:eastAsia="微软雅黑"/>
          <w:color w:val="000000"/>
          <w:szCs w:val="21"/>
        </w:rPr>
        <w:t>绿带，黑带，熟悉如何应用质量工具解决生产问题，对生产制造型企业的一线运营和管理系统非常了解，善于诊断制程问题，发起自我审核和应对客户审核。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另有辅导新工厂建立ISO9001质量系统并通过第三方审核的经历</w:t>
      </w:r>
      <w:r>
        <w:rPr>
          <w:rFonts w:hint="eastAsia" w:eastAsia="微软雅黑"/>
          <w:color w:val="000000"/>
          <w:szCs w:val="21"/>
        </w:rPr>
        <w:t>，</w:t>
      </w:r>
      <w:r>
        <w:rPr>
          <w:rFonts w:eastAsia="微软雅黑"/>
          <w:color w:val="000000"/>
          <w:szCs w:val="21"/>
        </w:rPr>
        <w:t>对制造</w:t>
      </w:r>
      <w:r>
        <w:rPr>
          <w:rFonts w:hint="eastAsia" w:eastAsia="微软雅黑"/>
          <w:color w:val="000000"/>
          <w:szCs w:val="21"/>
        </w:rPr>
        <w:t>企业</w:t>
      </w:r>
      <w:r>
        <w:rPr>
          <w:rFonts w:eastAsia="微软雅黑"/>
          <w:color w:val="000000"/>
          <w:szCs w:val="21"/>
        </w:rPr>
        <w:t>RoHS体系(QC080000)的建立和管理有实践经验。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工作经历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在职质量经理。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在Delta Electronics、Jabil Circuit和GE等公司任质量工程师、</w:t>
      </w:r>
      <w:r>
        <w:rPr>
          <w:rFonts w:hint="eastAsia" w:eastAsia="微软雅黑"/>
          <w:color w:val="000000"/>
          <w:szCs w:val="21"/>
        </w:rPr>
        <w:t>主管</w:t>
      </w:r>
      <w:r>
        <w:rPr>
          <w:rFonts w:eastAsia="微软雅黑"/>
          <w:color w:val="000000"/>
          <w:szCs w:val="21"/>
        </w:rPr>
        <w:t>和经理等职务。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培训经历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2004</w:t>
      </w:r>
      <w:r>
        <w:rPr>
          <w:rFonts w:hint="eastAsia" w:eastAsia="微软雅黑"/>
          <w:color w:val="000000"/>
          <w:szCs w:val="21"/>
        </w:rPr>
        <w:t>年，</w:t>
      </w:r>
      <w:r>
        <w:rPr>
          <w:rFonts w:eastAsia="微软雅黑"/>
          <w:color w:val="000000"/>
          <w:szCs w:val="21"/>
        </w:rPr>
        <w:t>接受</w:t>
      </w:r>
      <w:r>
        <w:rPr>
          <w:rFonts w:hint="eastAsia" w:eastAsia="微软雅黑"/>
          <w:color w:val="000000"/>
          <w:szCs w:val="21"/>
        </w:rPr>
        <w:t>台湾知名</w:t>
      </w:r>
      <w:r>
        <w:rPr>
          <w:rFonts w:eastAsia="微软雅黑"/>
          <w:color w:val="000000"/>
          <w:szCs w:val="21"/>
        </w:rPr>
        <w:t>管理顾问公司</w:t>
      </w:r>
      <w:r>
        <w:rPr>
          <w:rFonts w:hint="eastAsia" w:eastAsia="微软雅黑"/>
          <w:color w:val="000000"/>
          <w:szCs w:val="21"/>
        </w:rPr>
        <w:t>训练：包括TTT</w:t>
      </w:r>
      <w:r>
        <w:rPr>
          <w:rFonts w:eastAsia="微软雅黑"/>
          <w:color w:val="000000"/>
          <w:szCs w:val="21"/>
        </w:rPr>
        <w:t>、QC</w:t>
      </w:r>
      <w:r>
        <w:rPr>
          <w:rFonts w:hint="eastAsia" w:eastAsia="微软雅黑"/>
          <w:color w:val="000000"/>
          <w:szCs w:val="21"/>
        </w:rPr>
        <w:t>工具</w:t>
      </w:r>
      <w:r>
        <w:rPr>
          <w:rFonts w:eastAsia="微软雅黑"/>
          <w:color w:val="000000"/>
          <w:szCs w:val="21"/>
        </w:rPr>
        <w:t>、8D、SPC、DOE、</w:t>
      </w:r>
      <w:r>
        <w:rPr>
          <w:rFonts w:hint="eastAsia" w:eastAsia="微软雅黑"/>
          <w:color w:val="000000"/>
          <w:szCs w:val="21"/>
        </w:rPr>
        <w:t>Taguchi</w:t>
      </w:r>
      <w:r>
        <w:rPr>
          <w:rFonts w:eastAsia="微软雅黑"/>
          <w:color w:val="000000"/>
          <w:szCs w:val="21"/>
        </w:rPr>
        <w:t>和6sigma等</w:t>
      </w:r>
      <w:r>
        <w:rPr>
          <w:rFonts w:hint="eastAsia" w:eastAsia="微软雅黑"/>
          <w:color w:val="000000"/>
          <w:szCs w:val="21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color w:val="000000"/>
          <w:szCs w:val="21"/>
        </w:rPr>
        <w:t>2005年，</w:t>
      </w:r>
      <w:r>
        <w:rPr>
          <w:rFonts w:eastAsia="微软雅黑"/>
          <w:color w:val="000000"/>
          <w:szCs w:val="21"/>
        </w:rPr>
        <w:t>获得内训讲师认证资格并从事相关课程的培训工作；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2006年，QC080000体系培训</w:t>
      </w:r>
      <w:r>
        <w:rPr>
          <w:rFonts w:hint="eastAsia" w:eastAsia="微软雅黑"/>
          <w:color w:val="000000"/>
          <w:szCs w:val="21"/>
        </w:rPr>
        <w:t>并获得</w:t>
      </w:r>
      <w:r>
        <w:rPr>
          <w:rFonts w:eastAsia="微软雅黑"/>
          <w:color w:val="000000"/>
          <w:szCs w:val="21"/>
        </w:rPr>
        <w:t>RoHS</w:t>
      </w:r>
      <w:r>
        <w:rPr>
          <w:rFonts w:hint="eastAsia" w:eastAsia="微软雅黑"/>
          <w:color w:val="000000"/>
          <w:szCs w:val="21"/>
        </w:rPr>
        <w:t>推进师认证</w:t>
      </w:r>
      <w:r>
        <w:rPr>
          <w:rFonts w:eastAsia="微软雅黑"/>
          <w:color w:val="000000"/>
          <w:szCs w:val="21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201</w:t>
      </w:r>
      <w:r>
        <w:rPr>
          <w:rFonts w:hint="eastAsia" w:eastAsia="微软雅黑"/>
          <w:color w:val="000000"/>
          <w:szCs w:val="21"/>
        </w:rPr>
        <w:t>0</w:t>
      </w:r>
      <w:r>
        <w:rPr>
          <w:rFonts w:eastAsia="微软雅黑"/>
          <w:color w:val="000000"/>
          <w:szCs w:val="21"/>
        </w:rPr>
        <w:t>年，</w:t>
      </w:r>
      <w:r>
        <w:rPr>
          <w:rFonts w:hint="eastAsia" w:eastAsia="微软雅黑"/>
          <w:color w:val="000000"/>
          <w:szCs w:val="21"/>
        </w:rPr>
        <w:t>GE公司职业经理人，6sigma项目</w:t>
      </w:r>
      <w:r>
        <w:rPr>
          <w:rFonts w:eastAsia="微软雅黑"/>
          <w:color w:val="000000"/>
          <w:szCs w:val="21"/>
        </w:rPr>
        <w:t>培训</w:t>
      </w:r>
      <w:r>
        <w:rPr>
          <w:rFonts w:hint="eastAsia" w:eastAsia="微软雅黑"/>
          <w:color w:val="000000"/>
          <w:szCs w:val="21"/>
        </w:rPr>
        <w:t>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其他：ISO9000/13485/TS16949内审员培训；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专业领域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在6年多</w:t>
      </w:r>
      <w:r>
        <w:rPr>
          <w:rFonts w:hint="eastAsia" w:eastAsia="微软雅黑"/>
          <w:color w:val="000000"/>
          <w:szCs w:val="21"/>
        </w:rPr>
        <w:t>Delta</w:t>
      </w:r>
      <w:r>
        <w:rPr>
          <w:rFonts w:eastAsia="微软雅黑"/>
          <w:color w:val="000000"/>
          <w:szCs w:val="21"/>
        </w:rPr>
        <w:t>工作过程中接受了系统的质量知识培训，参与专案执行、专案评审，被聘为内训讲师，熟练应用包括QC七大手法、8D 、SPC、MSA、FMEA等基础应用学科，熟悉DOE(实验设计)、Taguchi(田口方法)、6sigma等理论，对于基层品检、生产领班、质量工程师和制造工程师工作十分了解，熟悉产品制程工艺，制造问题分析经验丰富。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后在Jabil和GE的工作经历更多领会了一流欧美企业的现场管理理念、思维方式，</w:t>
      </w:r>
      <w:r>
        <w:rPr>
          <w:rFonts w:hint="eastAsia" w:eastAsia="微软雅黑"/>
          <w:color w:val="000000"/>
          <w:szCs w:val="21"/>
        </w:rPr>
        <w:t>接触到世界顶级客户如Huawei，Cisco，Apple等，</w:t>
      </w:r>
      <w:r>
        <w:rPr>
          <w:rFonts w:eastAsia="微软雅黑"/>
          <w:color w:val="000000"/>
          <w:szCs w:val="21"/>
        </w:rPr>
        <w:t>能把台资企业的细腻、具体的程序和方法论融合到相对开放、追求结果的欧美公司文化中，能够在解决问题的过程中有效快速的找到解决问题的路径。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主要擅长课程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新旧QC七大手法(QC 7 tools – old/new)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问题的分析和解决方法(8D)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统计过程控制（SPC）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全面质量管理(TQM)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eastAsia="微软雅黑"/>
          <w:szCs w:val="21"/>
        </w:rPr>
      </w:pPr>
      <w:r>
        <w:rPr>
          <w:rFonts w:eastAsia="微软雅黑"/>
          <w:color w:val="000000"/>
          <w:szCs w:val="21"/>
        </w:rPr>
        <w:t>客户投诉处理及应对技巧(CQE)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color w:val="000000"/>
          <w:szCs w:val="21"/>
        </w:rPr>
        <w:t>失效模式及要因分析(FMEA)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hint="eastAsia" w:ascii="Tahoma" w:eastAsia="微软雅黑" w:cs="Tahoma"/>
        </w:rPr>
      </w:pPr>
      <w:r>
        <w:rPr>
          <w:rFonts w:ascii="Tahoma" w:eastAsia="微软雅黑" w:cs="Tahoma"/>
        </w:rPr>
        <w:t>老师制造业生产现场经验丰富，与基层接触的时间较长，对产品线布局和站位风险评估方法熟悉，善于举例，表达幽默，与来自工厂的学员容易产生良好互动，通过案例分析结合理论知识的讲解，练习，深入浅出，易于学员接受、理解和运用，应用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培训或辅导过的企业：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ascii="Tahoma" w:eastAsia="微软雅黑" w:cs="Tahoma"/>
        </w:rPr>
      </w:pPr>
      <w:r>
        <w:rPr>
          <w:rFonts w:hint="eastAsia" w:ascii="Tahoma" w:eastAsia="微软雅黑" w:cs="Tahoma"/>
        </w:rPr>
        <w:t>法雷奥汽车、博西华电器、科世达汽车电器、丰田工业、三星电子、大众、中电熊猫、上海海湾石化、大阪精工、山东广电、中国中铁、中国中车、江苏兴达、东方通信、鲁能智能、李尔、ECCO、苏州西门子、艾默生、武汉提爱思、通领汽车饰件、韩泰轮胎、马牌轮胎、双钱、鼎智机电、中材科技、嘉科工程、伟星、瓦卢瑞克曼内斯曼、博莱特压缩机、挪赛夫玻璃钢、一汽解放汽车、东风本田、东洋碳素、新时达电气、宇通客车、柳州五菱、现代威亚汽车、杭港地铁、安川电动机器、南京职业高专、先尼科化工、日野汽车、扬子纺纱、美特斯邦威、和承汽车配件、以化新材料、绿新科技、领先丝带、铁姆肯、克拉电子、琳得科、普尔思、克朗斯机械、荷贝克电源系统、上海美心食品、康飞机器制造、伊隆食品、上海诺德、欧迪恩传动、大金空调、透平叶片、铭凯益电子、堃霖冷冻机械、思念食品、苏泊尔、川易、日立化成、万向新能源汽车、贝科工业涂料、生益科技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</w:rPr>
      </w:pPr>
      <w:r>
        <w:rPr>
          <w:rFonts w:hint="default" w:ascii="Times New Roman" w:hAnsi="Times New Roman" w:eastAsia="微软雅黑" w:cs="Times New Roman"/>
          <w:b/>
          <w:sz w:val="44"/>
        </w:rPr>
        <w:t xml:space="preserve">      </w:t>
      </w:r>
      <w:r>
        <w:rPr>
          <w:rFonts w:hint="default" w:ascii="Times New Roman" w:hAnsi="Times New Roman" w:eastAsia="微软雅黑" w:cs="Times New Roman"/>
          <w:b/>
          <w:sz w:val="36"/>
        </w:rPr>
        <w:t>报 名 回 执</w:t>
      </w:r>
      <w:r>
        <w:rPr>
          <w:rFonts w:hint="default" w:ascii="Times New Roman" w:hAnsi="Times New Roman" w:eastAsia="微软雅黑" w:cs="Times New Roman"/>
          <w:b/>
        </w:rPr>
        <w:t>（请务必于开课前7天回复）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24"/>
        <w:gridCol w:w="1535"/>
        <w:gridCol w:w="2010"/>
        <w:gridCol w:w="1423"/>
        <w:gridCol w:w="142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姓名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性别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部门/职位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课程名称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Tel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Fax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Email/手机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培训负责人：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公司名称：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10"/>
                <w:sz w:val="24"/>
              </w:rPr>
              <w:t>公司地址：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b/>
          <w:sz w:val="24"/>
        </w:rPr>
        <w:t xml:space="preserve">★缴费方式： </w:t>
      </w:r>
      <w:r>
        <w:rPr>
          <w:rFonts w:hint="default" w:ascii="Times New Roman" w:hAnsi="Times New Roman" w:eastAsia="微软雅黑" w:cs="Times New Roman"/>
          <w:b/>
          <w:sz w:val="24"/>
        </w:rPr>
        <w:sym w:font="Wingdings" w:char="F06F"/>
      </w:r>
      <w:r>
        <w:rPr>
          <w:rFonts w:hint="default" w:ascii="Times New Roman" w:hAnsi="Times New Roman" w:eastAsia="微软雅黑" w:cs="Times New Roman"/>
          <w:b/>
          <w:sz w:val="24"/>
        </w:rPr>
        <w:t xml:space="preserve"> 支票    </w:t>
      </w:r>
      <w:r>
        <w:rPr>
          <w:rFonts w:hint="default" w:ascii="Times New Roman" w:hAnsi="Times New Roman" w:eastAsia="微软雅黑" w:cs="Times New Roman"/>
          <w:b/>
          <w:sz w:val="24"/>
        </w:rPr>
        <w:sym w:font="Wingdings" w:char="F06F"/>
      </w:r>
      <w:r>
        <w:rPr>
          <w:rFonts w:hint="default" w:ascii="Times New Roman" w:hAnsi="Times New Roman" w:eastAsia="微软雅黑" w:cs="Times New Roman"/>
          <w:b/>
          <w:sz w:val="24"/>
        </w:rPr>
        <w:t xml:space="preserve"> 现场缴费   </w:t>
      </w:r>
      <w:r>
        <w:rPr>
          <w:rFonts w:hint="default" w:ascii="Times New Roman" w:hAnsi="Times New Roman" w:eastAsia="微软雅黑" w:cs="Times New Roman"/>
          <w:b/>
          <w:sz w:val="24"/>
        </w:rPr>
        <w:sym w:font="Wingdings" w:char="F06F"/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sz w:val="24"/>
        </w:rPr>
        <w:t xml:space="preserve"> 汇款（汇款后请将汇款单据传真至本公司）</w:t>
      </w:r>
    </w:p>
    <w:sectPr>
      <w:footerReference r:id="rId3" w:type="default"/>
      <w:pgSz w:w="11906" w:h="16838"/>
      <w:pgMar w:top="1440" w:right="1349" w:bottom="1440" w:left="134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BF1387"/>
    <w:multiLevelType w:val="singleLevel"/>
    <w:tmpl w:val="55BF138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5BF13A6"/>
    <w:multiLevelType w:val="singleLevel"/>
    <w:tmpl w:val="55BF13A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2184A"/>
    <w:rsid w:val="6C42184A"/>
    <w:rsid w:val="71C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81"/>
    <w:basedOn w:val="5"/>
    <w:qFormat/>
    <w:uiPriority w:val="0"/>
    <w:rPr>
      <w:rFonts w:ascii="微软雅黑" w:hAnsi="微软雅黑" w:eastAsia="微软雅黑" w:cs="微软雅黑"/>
      <w:b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5"/>
    <w:qFormat/>
    <w:uiPriority w:val="0"/>
    <w:rPr>
      <w:rFonts w:hint="default" w:ascii="Times New Roman" w:hAnsi="Times New Roman" w:cs="Times New Roman"/>
      <w:b/>
      <w:color w:val="FF0000"/>
      <w:sz w:val="32"/>
      <w:szCs w:val="32"/>
      <w:u w:val="none"/>
    </w:rPr>
  </w:style>
  <w:style w:type="character" w:customStyle="1" w:styleId="13">
    <w:name w:val="apple-style-span"/>
    <w:basedOn w:val="5"/>
    <w:qFormat/>
    <w:uiPriority w:val="0"/>
  </w:style>
  <w:style w:type="paragraph" w:customStyle="1" w:styleId="14">
    <w:name w:val="Normal_2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2021-01-19T09:50:00Z</dcterms:created>
  <dc:creator>强思企管婷婷（渠道报单）</dc:creator>
  <cp:lastModifiedBy>强思企管婷婷（渠道报单）</cp:lastModifiedBy>
  <dcterms:modified xsi:type="dcterms:W3CDTF">2021-05-10T03:48:37Z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ED12284ADFCB4B34964BEBE7B6D33FF7</vt:lpwstr>
  </property>
</Properties>
</file>