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1"/>
        </w:pBdr>
        <w:tabs>
          <w:tab w:val="left" w:pos="720"/>
        </w:tabs>
        <w:spacing w:after="120" w:afterLines="50" w:line="360" w:lineRule="auto"/>
        <w:rPr>
          <w:rFonts w:eastAsia="微软雅黑"/>
          <w:b/>
          <w:bCs/>
          <w:color w:val="0000FF"/>
          <w:sz w:val="40"/>
          <w:szCs w:val="48"/>
        </w:rPr>
      </w:pPr>
      <w:r>
        <w:rPr>
          <w:rFonts w:hint="eastAsia" w:ascii="微软雅黑" w:hAnsi="微软雅黑" w:eastAsia="微软雅黑" w:cs="微软雅黑"/>
          <w:b/>
          <w:color w:val="0000FF"/>
          <w:sz w:val="44"/>
        </w:rPr>
        <w:t>新形势下人力资源成本的缩减与优化</w:t>
      </w:r>
    </w:p>
    <w:p>
      <w:pPr>
        <w:spacing w:line="460" w:lineRule="exact"/>
        <w:rPr>
          <w:rFonts w:hint="eastAsia" w:eastAsia="微软雅黑"/>
          <w:b/>
          <w:sz w:val="32"/>
          <w:szCs w:val="32"/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sz w:val="32"/>
          <w:szCs w:val="32"/>
        </w:rPr>
        <w:t>2021年</w:t>
      </w:r>
      <w:r>
        <w:rPr>
          <w:rFonts w:hint="eastAsia" w:eastAsia="微软雅黑"/>
          <w:b/>
          <w:sz w:val="32"/>
          <w:szCs w:val="32"/>
          <w:lang w:val="en-US" w:eastAsia="zh-CN"/>
        </w:rPr>
        <w:t>6</w:t>
      </w:r>
      <w:r>
        <w:rPr>
          <w:rFonts w:hint="eastAsia" w:eastAsia="微软雅黑"/>
          <w:b/>
          <w:sz w:val="32"/>
          <w:szCs w:val="32"/>
        </w:rPr>
        <w:t>月1</w:t>
      </w:r>
      <w:r>
        <w:rPr>
          <w:rFonts w:hint="eastAsia" w:eastAsia="微软雅黑"/>
          <w:b/>
          <w:sz w:val="32"/>
          <w:szCs w:val="32"/>
          <w:lang w:val="en-US" w:eastAsia="zh-CN"/>
        </w:rPr>
        <w:t>1</w:t>
      </w:r>
      <w:r>
        <w:rPr>
          <w:rFonts w:hint="eastAsia" w:eastAsia="微软雅黑"/>
          <w:b/>
          <w:sz w:val="32"/>
          <w:szCs w:val="32"/>
        </w:rPr>
        <w:t>日（</w:t>
      </w:r>
      <w:r>
        <w:rPr>
          <w:rFonts w:hint="eastAsia" w:eastAsia="微软雅黑"/>
          <w:b/>
          <w:sz w:val="32"/>
          <w:szCs w:val="32"/>
          <w:lang w:val="en-US" w:eastAsia="zh-CN"/>
        </w:rPr>
        <w:t>星期</w:t>
      </w:r>
      <w:r>
        <w:rPr>
          <w:rFonts w:hint="eastAsia" w:eastAsia="微软雅黑"/>
          <w:b/>
          <w:sz w:val="32"/>
          <w:szCs w:val="32"/>
        </w:rPr>
        <w:t>五）/上 海</w:t>
      </w:r>
    </w:p>
    <w:p>
      <w:pPr>
        <w:spacing w:line="460" w:lineRule="exact"/>
        <w:rPr>
          <w:rFonts w:hint="eastAsia" w:eastAsia="微软雅黑"/>
          <w:b/>
          <w:sz w:val="32"/>
          <w:szCs w:val="32"/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 w:val="32"/>
          <w:szCs w:val="32"/>
        </w:rPr>
        <w:t>￥</w:t>
      </w:r>
      <w:r>
        <w:rPr>
          <w:rFonts w:hint="eastAsia" w:eastAsia="微软雅黑"/>
          <w:b/>
          <w:sz w:val="32"/>
          <w:szCs w:val="32"/>
          <w:lang w:val="en-US" w:eastAsia="zh-CN"/>
        </w:rPr>
        <w:t>25</w:t>
      </w:r>
      <w:r>
        <w:rPr>
          <w:rFonts w:eastAsia="微软雅黑"/>
          <w:b/>
          <w:sz w:val="32"/>
          <w:szCs w:val="32"/>
        </w:rPr>
        <w:t>00/人</w:t>
      </w:r>
    </w:p>
    <w:p>
      <w:pPr>
        <w:numPr>
          <w:ilvl w:val="0"/>
          <w:numId w:val="1"/>
        </w:numPr>
        <w:spacing w:line="460" w:lineRule="exact"/>
        <w:rPr>
          <w:rFonts w:hint="eastAsia" w:eastAsia="微软雅黑"/>
          <w:sz w:val="32"/>
          <w:szCs w:val="32"/>
        </w:rPr>
      </w:pPr>
      <w:r>
        <w:rPr>
          <w:rFonts w:eastAsia="微软雅黑"/>
          <w:sz w:val="32"/>
          <w:szCs w:val="32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60" w:lineRule="exact"/>
        <w:textAlignment w:val="baseline"/>
        <w:rPr>
          <w:rFonts w:hint="eastAsia" w:eastAsia="微软雅黑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sz w:val="32"/>
          <w:szCs w:val="32"/>
        </w:rPr>
        <w:t>不包含学员往返培训场地的交通费用、住宿费用，早餐及晚餐 </w:t>
      </w:r>
    </w:p>
    <w:p>
      <w:pPr>
        <w:numPr>
          <w:ilvl w:val="0"/>
          <w:numId w:val="0"/>
        </w:numPr>
        <w:spacing w:line="460" w:lineRule="exact"/>
        <w:ind w:leftChars="0"/>
        <w:textAlignment w:val="baseline"/>
        <w:rPr>
          <w:rFonts w:hint="eastAsia" w:eastAsia="微软雅黑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</w:t>
      </w:r>
      <w:r>
        <w:rPr>
          <w:rFonts w:hint="eastAsia"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目的</w:t>
      </w: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了解人力资源成本管理的构成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从使用成本、保障成本、离职成本三个维度进行人力资源成本的控制管理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通过案例将理论与实践密切结合，量身订做适合企业的可行性方案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eastAsia="微软雅黑"/>
          <w:sz w:val="32"/>
          <w:szCs w:val="32"/>
        </w:rPr>
      </w:pPr>
    </w:p>
    <w:p>
      <w:pPr>
        <w:spacing w:line="480" w:lineRule="exact"/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color w:val="000000"/>
          <w:sz w:val="32"/>
          <w:szCs w:val="32"/>
          <w:lang w:eastAsia="zh-CN"/>
        </w:rPr>
      </w:pPr>
      <w:r>
        <w:rPr>
          <w:rFonts w:eastAsia="微软雅黑"/>
          <w:color w:val="000000"/>
          <w:sz w:val="32"/>
          <w:szCs w:val="32"/>
        </w:rPr>
        <w:t>知识讲解、案例分析讨论、角色演练、小组讨论、互动交流、游戏感悟、头脑风暴、强调学员参与</w:t>
      </w:r>
      <w:r>
        <w:rPr>
          <w:rFonts w:hint="eastAsia" w:eastAsia="微软雅黑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bCs/>
          <w:kern w:val="0"/>
          <w:sz w:val="32"/>
          <w:szCs w:val="32"/>
        </w:rPr>
      </w:pPr>
      <w:r>
        <w:rPr>
          <w:rFonts w:hint="eastAsia" w:eastAsia="微软雅黑"/>
          <w:b/>
          <w:bCs/>
          <w:kern w:val="0"/>
          <w:sz w:val="32"/>
          <w:szCs w:val="32"/>
        </w:rPr>
        <w:t>一、什么是人力资源成本？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bCs/>
          <w:kern w:val="0"/>
          <w:sz w:val="32"/>
          <w:szCs w:val="32"/>
        </w:rPr>
      </w:pPr>
      <w:r>
        <w:rPr>
          <w:rFonts w:hint="eastAsia" w:eastAsia="微软雅黑"/>
          <w:b/>
          <w:bCs/>
          <w:kern w:val="0"/>
          <w:sz w:val="32"/>
          <w:szCs w:val="32"/>
        </w:rPr>
        <w:t>二、人力资源成本由哪些内容构成？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bCs/>
          <w:kern w:val="0"/>
          <w:sz w:val="32"/>
          <w:szCs w:val="32"/>
        </w:rPr>
      </w:pPr>
      <w:r>
        <w:rPr>
          <w:rFonts w:hint="eastAsia" w:eastAsia="微软雅黑"/>
          <w:b/>
          <w:bCs/>
          <w:kern w:val="0"/>
          <w:sz w:val="32"/>
          <w:szCs w:val="32"/>
        </w:rPr>
        <w:t>三、如何进行人力资源成本的管理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使用成本、保障成本的控制管理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Cs/>
          <w:kern w:val="0"/>
          <w:sz w:val="32"/>
          <w:szCs w:val="32"/>
        </w:rPr>
      </w:pPr>
      <w:r>
        <w:rPr>
          <w:rFonts w:hint="eastAsia" w:eastAsia="微软雅黑"/>
          <w:bCs/>
          <w:kern w:val="0"/>
          <w:sz w:val="32"/>
          <w:szCs w:val="32"/>
        </w:rPr>
        <w:t>从薪酬的角度分析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Cs/>
          <w:kern w:val="0"/>
          <w:sz w:val="32"/>
          <w:szCs w:val="32"/>
        </w:rPr>
      </w:pPr>
      <w:r>
        <w:rPr>
          <w:rFonts w:hint="eastAsia" w:eastAsia="微软雅黑"/>
          <w:bCs/>
          <w:kern w:val="0"/>
          <w:sz w:val="32"/>
          <w:szCs w:val="32"/>
        </w:rPr>
        <w:t>从福利的角度分析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Cs/>
          <w:kern w:val="0"/>
          <w:sz w:val="32"/>
          <w:szCs w:val="32"/>
        </w:rPr>
      </w:pPr>
      <w:r>
        <w:rPr>
          <w:rFonts w:hint="eastAsia" w:eastAsia="微软雅黑"/>
          <w:bCs/>
          <w:kern w:val="0"/>
          <w:sz w:val="32"/>
          <w:szCs w:val="32"/>
        </w:rPr>
        <w:t>从税法的角度分析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Cs/>
          <w:kern w:val="0"/>
          <w:sz w:val="32"/>
          <w:szCs w:val="32"/>
        </w:rPr>
      </w:pPr>
      <w:r>
        <w:rPr>
          <w:rFonts w:hint="eastAsia" w:eastAsia="微软雅黑"/>
          <w:bCs/>
          <w:kern w:val="0"/>
          <w:sz w:val="32"/>
          <w:szCs w:val="32"/>
        </w:rPr>
        <w:t>从劳动法的角度分析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用工模式的设计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Cs/>
          <w:kern w:val="0"/>
          <w:sz w:val="32"/>
          <w:szCs w:val="32"/>
        </w:rPr>
      </w:pPr>
      <w:r>
        <w:rPr>
          <w:rFonts w:hint="eastAsia" w:eastAsia="微软雅黑"/>
          <w:bCs/>
          <w:kern w:val="0"/>
          <w:sz w:val="32"/>
          <w:szCs w:val="32"/>
        </w:rPr>
        <w:t>多种用工模式的特点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Cs/>
          <w:kern w:val="0"/>
          <w:sz w:val="32"/>
          <w:szCs w:val="32"/>
        </w:rPr>
      </w:pPr>
      <w:r>
        <w:rPr>
          <w:rFonts w:hint="eastAsia" w:eastAsia="微软雅黑"/>
          <w:bCs/>
          <w:kern w:val="0"/>
          <w:sz w:val="32"/>
          <w:szCs w:val="32"/>
        </w:rPr>
        <w:t>用工模式的案例分析与设计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离职成本的控制管理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Cs/>
          <w:kern w:val="0"/>
          <w:sz w:val="32"/>
          <w:szCs w:val="32"/>
        </w:rPr>
      </w:pPr>
      <w:r>
        <w:rPr>
          <w:rFonts w:hint="eastAsia" w:eastAsia="微软雅黑"/>
          <w:bCs/>
          <w:kern w:val="0"/>
          <w:sz w:val="32"/>
          <w:szCs w:val="32"/>
        </w:rPr>
        <w:t>离职补偿成本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Cs/>
          <w:kern w:val="0"/>
          <w:sz w:val="32"/>
          <w:szCs w:val="32"/>
        </w:rPr>
      </w:pPr>
      <w:r>
        <w:rPr>
          <w:rFonts w:hint="eastAsia" w:eastAsia="微软雅黑"/>
          <w:bCs/>
          <w:kern w:val="0"/>
          <w:sz w:val="32"/>
          <w:szCs w:val="32"/>
        </w:rPr>
        <w:t>离职风险成本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Cs/>
          <w:kern w:val="0"/>
          <w:sz w:val="32"/>
          <w:szCs w:val="32"/>
        </w:rPr>
      </w:pPr>
      <w:r>
        <w:rPr>
          <w:rFonts w:hint="eastAsia" w:eastAsia="微软雅黑"/>
          <w:bCs/>
          <w:kern w:val="0"/>
          <w:sz w:val="32"/>
          <w:szCs w:val="32"/>
        </w:rPr>
        <w:t>离职隐性成本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eastAsia="微软雅黑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讲师简介：</w:t>
      </w:r>
      <w:r>
        <w:rPr>
          <w:rFonts w:eastAsia="微软雅黑"/>
          <w:b/>
          <w:i w:val="0"/>
          <w:iCs/>
          <w:sz w:val="32"/>
          <w:szCs w:val="3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侯老师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bCs/>
          <w:color w:val="000000"/>
          <w:sz w:val="32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资质背景：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管理学硕士、高级人力资源管理师、心理咨询师、国际培训师、税务师等。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bCs/>
          <w:color w:val="000000"/>
          <w:sz w:val="32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专业领域：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企业法律服务（劳动法领域）、人力资源管理服务、财税管理服务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bCs/>
          <w:color w:val="000000"/>
          <w:sz w:val="32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覆盖行业：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制造业、金融行业、教育咨询行业、零售（含电商）行业、房地产行业、互联网行业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bCs/>
          <w:color w:val="000000"/>
          <w:sz w:val="32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服务特色：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为近300家企业提供咨询服务与案件代理，浸润人力资源行业20余年，在企业人力资源管理、财税管理、员工关系管理、劳动法领域等方面具有丰富的实战经验与理论储备，擅长将法律、人力资源、财税相结合三位一体系统的解决企业的痛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bCs/>
          <w:color w:val="000000"/>
          <w:sz w:val="32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著有：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《优秀HR实战手册》、《劳动争议案例办理实务》、《全面薪酬体系设计》、《劳动关系管理》等系列书籍。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bCs/>
          <w:color w:val="000000"/>
          <w:sz w:val="32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讲师经历：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华东师范大学、上海师范大学、上海社科院、上海国家会计学院、宝山小微基地、上港集团、烟草集团、宝钢集团、上汽集团等特聘讲师及顾问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bCs/>
          <w:color w:val="000000"/>
          <w:sz w:val="32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课程特色：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可落地、易操作、控风险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从法律与财税角度做到事前筹划、事中指导、事后代理，治标更要治本</w:t>
      </w: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jc w:val="center"/>
        <w:rPr>
          <w:rFonts w:eastAsia="微软雅黑"/>
        </w:rPr>
      </w:pPr>
      <w:r>
        <w:rPr>
          <w:rFonts w:eastAsia="微软雅黑"/>
        </w:rPr>
        <w:t>--------------------------------------------------------------------------------------------</w:t>
      </w:r>
      <w:bookmarkStart w:id="0" w:name="_GoBack"/>
      <w:bookmarkEnd w:id="0"/>
      <w:r>
        <w:rPr>
          <w:rFonts w:eastAsia="微软雅黑"/>
        </w:rPr>
        <w:t>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jc w:val="center"/>
        <w:rPr>
          <w:rFonts w:eastAsia="微软雅黑"/>
          <w:sz w:val="44"/>
        </w:rPr>
      </w:pPr>
      <w:r>
        <w:rPr>
          <w:rFonts w:eastAsia="微软雅黑"/>
          <w:b/>
          <w:sz w:val="44"/>
        </w:rPr>
        <w:t xml:space="preserve">      </w:t>
      </w:r>
      <w:r>
        <w:rPr>
          <w:rFonts w:eastAsia="微软雅黑"/>
          <w:b/>
          <w:sz w:val="36"/>
        </w:rPr>
        <w:t>报 名 回 执</w:t>
      </w:r>
      <w:r>
        <w:rPr>
          <w:rFonts w:eastAsia="微软雅黑"/>
          <w:b/>
        </w:rPr>
        <w:t>（请务必于开课前7天回复）</w:t>
      </w:r>
    </w:p>
    <w:tbl>
      <w:tblPr>
        <w:tblStyle w:val="4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736"/>
        <w:gridCol w:w="1559"/>
        <w:gridCol w:w="2042"/>
        <w:gridCol w:w="1446"/>
        <w:gridCol w:w="144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部门/职位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Tel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Fax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Email/手机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4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3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line="4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公司地址：</w:t>
            </w:r>
          </w:p>
        </w:tc>
      </w:tr>
    </w:tbl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N w:val="0"/>
        <w:bidi w:val="0"/>
        <w:spacing w:line="480" w:lineRule="exact"/>
        <w:jc w:val="center"/>
        <w:textAlignment w:val="baseline"/>
        <w:rPr>
          <w:rFonts w:eastAsia="微软雅黑"/>
          <w:b/>
          <w:sz w:val="24"/>
          <w:shd w:val="solid" w:color="FFFFFF" w:fill="auto"/>
        </w:rPr>
      </w:pPr>
      <w:r>
        <w:rPr>
          <w:rFonts w:eastAsia="微软雅黑"/>
          <w:b/>
          <w:sz w:val="24"/>
        </w:rPr>
        <w:t xml:space="preserve">★缴费方式：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支票</w:t>
      </w:r>
      <w:r>
        <w:rPr>
          <w:rFonts w:eastAsia="微软雅黑"/>
          <w:b/>
          <w:sz w:val="24"/>
        </w:rPr>
        <w:tab/>
      </w:r>
      <w:r>
        <w:rPr>
          <w:rFonts w:eastAsia="微软雅黑"/>
          <w:b/>
          <w:sz w:val="24"/>
        </w:rPr>
        <w:t xml:space="preserve"> 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现场缴费  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汇款（汇款后请将汇款单据传真至本公司）</w:t>
      </w:r>
    </w:p>
    <w:p>
      <w:pPr>
        <w:rPr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7CA9"/>
    <w:multiLevelType w:val="multilevel"/>
    <w:tmpl w:val="32C57CA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CAC2A56"/>
    <w:multiLevelType w:val="singleLevel"/>
    <w:tmpl w:val="5CAC2A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ED56065"/>
    <w:multiLevelType w:val="multilevel"/>
    <w:tmpl w:val="5ED5606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FBC8BB4"/>
    <w:multiLevelType w:val="singleLevel"/>
    <w:tmpl w:val="5FBC8B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6DC62418"/>
    <w:multiLevelType w:val="multilevel"/>
    <w:tmpl w:val="6DC6241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399B"/>
    <w:rsid w:val="24107330"/>
    <w:rsid w:val="36A3399B"/>
    <w:rsid w:val="641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Normal_2"/>
    <w:basedOn w:val="1"/>
    <w:qFormat/>
    <w:uiPriority w:val="0"/>
    <w:pPr>
      <w:spacing w:line="360" w:lineRule="exact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2021-01-14T16:30:00Z</dcterms:created>
  <dc:creator>强思企管婷婷（渠道报单）</dc:creator>
  <cp:lastModifiedBy>Administrator</cp:lastModifiedBy>
  <dcterms:modified xsi:type="dcterms:W3CDTF">2021-05-19T08:01:15Z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