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/>
        <w:jc w:val="center"/>
        <w:rPr>
          <w:rFonts w:hint="eastAsia" w:eastAsia="微软雅黑"/>
          <w:b/>
          <w:color w:val="0000FF"/>
          <w:sz w:val="44"/>
          <w:szCs w:val="22"/>
        </w:rPr>
      </w:pPr>
      <w:r>
        <w:rPr>
          <w:rFonts w:hint="eastAsia" w:eastAsia="微软雅黑"/>
          <w:b/>
          <w:color w:val="0000FF"/>
          <w:sz w:val="44"/>
          <w:szCs w:val="22"/>
        </w:rPr>
        <w:t>领导变革管理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培训时间/地点：</w:t>
      </w:r>
      <w:r>
        <w:rPr>
          <w:rFonts w:hint="default" w:ascii="Times New Roman" w:hAnsi="Times New Roman" w:eastAsia="微软雅黑" w:cs="Times New Roman"/>
          <w:b/>
          <w:szCs w:val="21"/>
        </w:rPr>
        <w:t>2021年</w:t>
      </w:r>
      <w:bookmarkStart w:id="0" w:name="_GoBack"/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b/>
          <w:szCs w:val="21"/>
        </w:rPr>
        <w:t>月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1~2</w:t>
      </w:r>
      <w:r>
        <w:rPr>
          <w:rFonts w:hint="default" w:ascii="Times New Roman" w:hAnsi="Times New Roman" w:eastAsia="微软雅黑" w:cs="Times New Roman"/>
          <w:b/>
          <w:szCs w:val="21"/>
        </w:rPr>
        <w:t>日（星期</w:t>
      </w:r>
      <w:r>
        <w:rPr>
          <w:rFonts w:hint="default" w:ascii="Times New Roman" w:hAnsi="Times New Roman" w:eastAsia="微软雅黑" w:cs="Times New Roman"/>
          <w:b/>
          <w:szCs w:val="21"/>
          <w:lang w:eastAsia="zh-CN"/>
        </w:rPr>
        <w:t>四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~星期五</w:t>
      </w:r>
      <w:r>
        <w:rPr>
          <w:rFonts w:hint="default" w:ascii="Times New Roman" w:hAnsi="Times New Roman" w:eastAsia="微软雅黑" w:cs="Times New Roman"/>
          <w:b/>
          <w:szCs w:val="21"/>
        </w:rPr>
        <w:t>）/上 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  <w:b/>
          <w:szCs w:val="21"/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hint="default" w:ascii="Times New Roman" w:hAnsi="Times New Roman" w:eastAsia="微软雅黑" w:cs="Times New Roman"/>
          <w:b/>
          <w:szCs w:val="21"/>
        </w:rPr>
        <w:t>￥</w:t>
      </w:r>
      <w:r>
        <w:rPr>
          <w:rFonts w:hint="default" w:ascii="Times New Roman" w:hAnsi="Times New Roman" w:eastAsia="微软雅黑" w:cs="Times New Roman"/>
          <w:b/>
          <w:szCs w:val="21"/>
          <w:lang w:val="en-US" w:eastAsia="zh-CN"/>
        </w:rPr>
        <w:t>5880</w:t>
      </w:r>
      <w:r>
        <w:rPr>
          <w:rFonts w:hint="default" w:ascii="Times New Roman" w:hAnsi="Times New Roman" w:eastAsia="微软雅黑" w:cs="Times New Roman"/>
          <w:b/>
          <w:szCs w:val="21"/>
        </w:rPr>
        <w:t>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default" w:ascii="Times New Roman" w:hAnsi="Times New Roman" w:eastAsia="微软雅黑" w:cs="Times New Roman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不包含学员往返培训场地的交通费用、住宿费用，早餐及晚餐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体验式培训，运用大量游戏和企业实际情境案例开展培训教学，使学员能够获得深入体验。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心理学背景，能够熟练运用各类测评问卷，帮助学员成长。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互动性强，授课风格生动活泼，幽默风趣。在培训过程中精心设计互动环节，使学员能够全身心投入到培训中。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结果导向，强调学习成果转化为实际应用。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</w:t>
      </w: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背景</w:t>
      </w: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每个处于职场的人都有可能随时面临企业变革的情况，在变革的环境下，如何更好的对“变革”进行“管理”，是每个积极的职场人士和管理者需要思考的重要问题。本课程就是针对处于这一时期的职场人士和管理者如何领导变革、实施变革及管理变革而设计的课程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该课程的设计主要是针对管理层领导变革、实施变革及管理变革的课程。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课程收益：</w:t>
      </w:r>
    </w:p>
    <w:p>
      <w:pPr>
        <w:spacing w:line="480" w:lineRule="exact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1. 明确变革的内涵和变革的价值和意义；</w:t>
      </w:r>
    </w:p>
    <w:p>
      <w:pPr>
        <w:spacing w:line="480" w:lineRule="exact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2. 掌握变革管理的流程与管理实施的步骤；</w:t>
      </w:r>
    </w:p>
    <w:p>
      <w:pPr>
        <w:spacing w:line="480" w:lineRule="exact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3. 掌握变革的阻力与管理变革的方法。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课程特点：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color w:val="000000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Cs w:val="21"/>
        </w:rPr>
        <w:t>帮助学员充分了解变革的价值和意义，如何克服变革的阻力和对变革进行管理。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第一部分：变革的价值与意义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1．什么是变革与变革管理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2．变革的目的与意义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3. 变革的困难与挑战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4. 变革对管理者的要求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5. 实施变革的8个步骤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步骤1. 建立紧迫感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步骤2: 建立强大的领导团队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步骤3: 确立变革愿景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步骤4：宣传及沟通愿景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步骤5：授权他人为愿景而行动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步骤6：计划和创造短期成效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步骤7：巩固改进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步骤8：变革制度化及流程化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Times New Roman" w:hAnsi="Times New Roman" w:eastAsia="微软雅黑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第二部分：变革的阻力与管理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1.变革的阻力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人为什么不喜欢变化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变革对组织的影响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变革对人的影响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路径依赖定律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人是变革中最大的阻力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变革阻力图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从“拒绝/避免”到“接受”的过程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情绪管理曲线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面对变革的四种心态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2. 变革中的10大挑战及解决方案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3. 变革管理者的领导力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3时期，8个阶段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清晰、透明的沟通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bCs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default" w:ascii="Times New Roman" w:hAnsi="Times New Roman" w:eastAsia="微软雅黑" w:cs="Times New Roman"/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张老师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</w:rPr>
        <w:t>管理学学士，心理学硕士。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讲师资历：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  <w:r>
        <w:rPr>
          <w:rFonts w:hint="default" w:ascii="Times New Roman" w:hAnsi="Times New Roman" w:eastAsia="微软雅黑" w:cs="Times New Roman"/>
          <w:b/>
          <w:sz w:val="22"/>
        </w:rPr>
        <w:t>一、职务背景：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“领导力发展”专家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曾担任多家世界500强公司大中华区培训与人才发展总监、企业大学校长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设计和讲授了多门领导力和人才管理与发展课程，深谙领导力发展精髓，授课时间累计超过10000小时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  <w:r>
        <w:rPr>
          <w:rFonts w:hint="default" w:ascii="Times New Roman" w:hAnsi="Times New Roman" w:eastAsia="微软雅黑" w:cs="Times New Roman"/>
          <w:b/>
          <w:sz w:val="22"/>
        </w:rPr>
        <w:t>二、金牌认证：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国家人事部注册“人才测评师”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Hay Group（合益咨询），AMA（美国管理协会），DDI（智睿咨询）,Ken Blanchard（肯布兰佳）认证培训师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DDI（智睿咨询）360度领导力测评认证教练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Viatech Global DISC性格分析认证教练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International Coach Federation (ICF) 企业高管教练（认证中）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  <w:r>
        <w:rPr>
          <w:rFonts w:hint="default" w:ascii="Times New Roman" w:hAnsi="Times New Roman" w:eastAsia="微软雅黑" w:cs="Times New Roman"/>
          <w:b/>
          <w:sz w:val="22"/>
        </w:rPr>
        <w:t>三、作品发表：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张老师研究的范围涉及管理学和心理学两大领域。累计在各级刊物上发表管理学和心理学专业学术论文10余篇，参加心理学专业书籍编写4部，参与翻译心理学专业书籍2部，参与各个级别人力资源管理项目或研究课题共8项。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</w:p>
    <w:p>
      <w:pPr>
        <w:autoSpaceDE w:val="0"/>
        <w:autoSpaceDN w:val="0"/>
        <w:adjustRightInd w:val="0"/>
        <w:spacing w:line="355" w:lineRule="exact"/>
        <w:jc w:val="left"/>
        <w:rPr>
          <w:rFonts w:hint="default" w:ascii="Times New Roman" w:hAnsi="Times New Roman" w:eastAsia="微软雅黑" w:cs="Times New Roman"/>
          <w:b/>
          <w:sz w:val="22"/>
        </w:rPr>
      </w:pPr>
      <w:r>
        <w:rPr>
          <w:rFonts w:hint="default" w:ascii="Times New Roman" w:hAnsi="Times New Roman" w:eastAsia="微软雅黑" w:cs="Times New Roman"/>
          <w:b/>
          <w:sz w:val="22"/>
        </w:rPr>
        <w:t>四、项目经验：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做为人才管理专家，曾帮助多家世界500强企业推行人才管理项目，包括人才盘点、职业通道设计、人才继任计划、高潜项目开发等，保证了人才的管理效率并提高了企业人力资源成熟度。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作为领导力发展专家，曾主持近百场领导力反馈工作坊、教练辅导、领导力论坛，帮助管理者和集团提高整体领导力水平和素养，完成领导力转型。</w:t>
      </w:r>
    </w:p>
    <w:p>
      <w:pPr>
        <w:numPr>
          <w:ilvl w:val="0"/>
          <w:numId w:val="2"/>
        </w:numPr>
        <w:spacing w:line="480" w:lineRule="exact"/>
        <w:rPr>
          <w:rFonts w:hint="default" w:ascii="Times New Roman" w:hAnsi="Times New Roman" w:eastAsia="微软雅黑" w:cs="Times New Roman"/>
          <w:b/>
          <w:sz w:val="22"/>
        </w:rPr>
      </w:pPr>
      <w:r>
        <w:rPr>
          <w:rFonts w:hint="default" w:ascii="Times New Roman" w:hAnsi="Times New Roman" w:eastAsia="微软雅黑" w:cs="Times New Roman"/>
        </w:rPr>
        <w:t>作为企业大学校长，曾负责某集团企业大学在中国区的创立和运营，推动企业大学的标准化管理。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擅长领域：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微软雅黑" w:cs="Times New Roman"/>
          <w:sz w:val="21"/>
        </w:rPr>
      </w:pPr>
      <w:r>
        <w:rPr>
          <w:rFonts w:hint="default" w:ascii="Times New Roman" w:hAnsi="Times New Roman" w:eastAsia="微软雅黑" w:cs="Times New Roman"/>
          <w:sz w:val="21"/>
        </w:rPr>
        <w:t>主要研究方向为管理心理学、人力资源管理和组织行为学。培训的擅长领域集中在领导力和组织发展的课程。可根据客户要求自主开发课程。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精品课程：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一、领导力类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1.《情境领导》（2天）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2.《卓越领导力》（2天）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3.《高效团队建设与团队管理》（1-2天）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4.《卓越目标与计划管理》（2天）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sz w:val="22"/>
          <w:szCs w:val="21"/>
          <w:u w:val="double"/>
        </w:rPr>
      </w:pPr>
      <w:r>
        <w:rPr>
          <w:rFonts w:hint="default" w:ascii="Times New Roman" w:hAnsi="Times New Roman" w:eastAsia="微软雅黑" w:cs="Times New Roman"/>
        </w:rPr>
        <w:t>5.《从优秀员工到卓越经理 - 成功管理者的角色认知》（1天）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二、沟通类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1.《基于DISC的有效沟通与冲突管理》（1-2天）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sz w:val="22"/>
          <w:szCs w:val="21"/>
          <w:u w:val="double"/>
        </w:rPr>
      </w:pPr>
      <w:r>
        <w:rPr>
          <w:rFonts w:hint="default" w:ascii="Times New Roman" w:hAnsi="Times New Roman" w:eastAsia="微软雅黑" w:cs="Times New Roman"/>
        </w:rPr>
        <w:t>2.《高效跨部门沟通》（2天）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三、个人成长与发展类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1.《职业化塑造与职业生涯规划》（1-2天）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sz w:val="22"/>
          <w:szCs w:val="21"/>
          <w:u w:val="double"/>
        </w:rPr>
      </w:pPr>
      <w:r>
        <w:rPr>
          <w:rFonts w:hint="default" w:ascii="Times New Roman" w:hAnsi="Times New Roman" w:eastAsia="微软雅黑" w:cs="Times New Roman"/>
        </w:rPr>
        <w:t>2.《高效时间与精力管理》（1-2天）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四、人力资源管理与人才发展类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1.《人才的招聘、面试和甄选》（2天）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2.《构建学习地图–基于静态、动态培训需求的培训体系设计》（工作坊，1-2天）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  <w:b/>
          <w:sz w:val="22"/>
          <w:szCs w:val="21"/>
          <w:u w:val="double"/>
        </w:rPr>
      </w:pPr>
      <w:r>
        <w:rPr>
          <w:rFonts w:hint="default" w:ascii="Times New Roman" w:hAnsi="Times New Roman" w:eastAsia="微软雅黑" w:cs="Times New Roman"/>
        </w:rPr>
        <w:t>3.《人才发展体系与设计》（工作坊，1-2天）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五、其他定制化课程和定制化工作坊。</w:t>
      </w:r>
    </w:p>
    <w:p>
      <w:pPr>
        <w:spacing w:line="480" w:lineRule="exact"/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近期服务的客户：</w:t>
      </w:r>
    </w:p>
    <w:p>
      <w:pPr>
        <w:spacing w:line="480" w:lineRule="exac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阿斯利康、工商银行、德尔福、舍弗勒、巴斯夫、百安居、卡特彼勒、万科集团、美国铝业、上海大众、中国移动、强生中国、西安杨森、无锡微研、杭州地铁、三菱商事、苏州汇思、百家惠大药房、苏州大学、西交利物浦大学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sectPr>
      <w:footerReference r:id="rId3" w:type="default"/>
      <w:pgSz w:w="11906" w:h="16838"/>
      <w:pgMar w:top="1100" w:right="1236" w:bottom="1100" w:left="1236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362C8"/>
    <w:multiLevelType w:val="singleLevel"/>
    <w:tmpl w:val="FF2362C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126EE"/>
    <w:rsid w:val="601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56" w:beforeLines="50" w:beforeAutospacing="0" w:line="440" w:lineRule="exact"/>
      <w:ind w:firstLine="480" w:firstLineChars="200"/>
    </w:pPr>
    <w:rPr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2021-03-03T10:10:00Z</dcterms:created>
  <dc:creator>强思企管婷婷（渠道报单）</dc:creator>
  <cp:lastModifiedBy>强思企管婷婷（渠道报单）</cp:lastModifiedBy>
  <dcterms:modified xsi:type="dcterms:W3CDTF">2021-03-03T10:14:11Z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