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微软雅黑" w:hAnsi="微软雅黑" w:eastAsia="微软雅黑" w:cs="微软雅黑"/>
          <w:b w:val="0"/>
          <w:bCs/>
          <w:color w:val="auto"/>
          <w:sz w:val="22"/>
          <w:szCs w:val="22"/>
          <w:lang w:val="zh-CN" w:eastAsia="zh-CN"/>
        </w:rPr>
      </w:pPr>
      <w:r>
        <w:rPr>
          <w:rFonts w:hint="eastAsia" w:ascii="微软雅黑" w:hAnsi="微软雅黑" w:eastAsia="微软雅黑" w:cs="微软雅黑"/>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5239385</wp:posOffset>
                </wp:positionH>
                <wp:positionV relativeFrom="paragraph">
                  <wp:posOffset>10301605</wp:posOffset>
                </wp:positionV>
                <wp:extent cx="2446655" cy="29654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2446655" cy="296545"/>
                        </a:xfrm>
                        <a:prstGeom prst="rect">
                          <a:avLst/>
                        </a:prstGeom>
                        <a:noFill/>
                        <a:ln w="9525">
                          <a:noFill/>
                          <a:miter/>
                        </a:ln>
                        <a:effectLst/>
                      </wps:spPr>
                      <wps:txbx>
                        <w:txbxContent>
                          <w:p>
                            <w:pPr>
                              <w:pStyle w:val="3"/>
                              <w:pBdr>
                                <w:bottom w:val="none" w:color="auto" w:sz="0" w:space="0"/>
                              </w:pBdr>
                              <w:jc w:val="both"/>
                              <w:rPr>
                                <w:rFonts w:hint="eastAsia"/>
                                <w:b/>
                                <w:sz w:val="24"/>
                                <w:szCs w:val="24"/>
                                <w:lang w:eastAsia="zh-CN"/>
                              </w:rPr>
                            </w:pPr>
                          </w:p>
                          <w:p>
                            <w:pPr>
                              <w:pStyle w:val="3"/>
                              <w:pBdr>
                                <w:bottom w:val="none" w:color="auto" w:sz="0" w:space="0"/>
                              </w:pBdr>
                              <w:jc w:val="both"/>
                              <w:rPr>
                                <w:b/>
                                <w:sz w:val="24"/>
                                <w:szCs w:val="24"/>
                                <w:lang w:val="zh-CN" w:eastAsia="zh-CN"/>
                              </w:rPr>
                            </w:pPr>
                            <w:r>
                              <w:rPr>
                                <w:rFonts w:hint="eastAsia"/>
                                <w:b/>
                                <w:sz w:val="24"/>
                                <w:szCs w:val="24"/>
                                <w:lang w:eastAsia="zh-CN"/>
                              </w:rPr>
                              <w:t>预约</w:t>
                            </w:r>
                            <w:r>
                              <w:rPr>
                                <w:rFonts w:hint="eastAsia"/>
                                <w:b/>
                                <w:sz w:val="24"/>
                                <w:szCs w:val="24"/>
                              </w:rPr>
                              <w:t>官网：www.timesmba.com</w:t>
                            </w:r>
                          </w:p>
                          <w:p>
                            <w:pPr>
                              <w:jc w:val="center"/>
                              <w:rPr>
                                <w:rFonts w:hint="default" w:ascii="Arial" w:hAnsi="Arial" w:eastAsia="华康雅宋体W9" w:cs="Arial"/>
                                <w:i w:val="0"/>
                                <w:iCs w:val="0"/>
                                <w:sz w:val="22"/>
                                <w:szCs w:val="22"/>
                              </w:rPr>
                            </w:pPr>
                          </w:p>
                        </w:txbxContent>
                      </wps:txbx>
                      <wps:bodyPr vert="horz" anchor="t" upright="1"/>
                    </wps:wsp>
                  </a:graphicData>
                </a:graphic>
              </wp:anchor>
            </w:drawing>
          </mc:Choice>
          <mc:Fallback>
            <w:pict>
              <v:shape id="_x0000_s1026" o:spid="_x0000_s1026" o:spt="202" type="#_x0000_t202" style="position:absolute;left:0pt;margin-left:412.55pt;margin-top:811.15pt;height:23.35pt;width:192.65pt;z-index:251662336;mso-width-relative:page;mso-height-relative:page;" filled="f" stroked="f" coordsize="21600,21600" o:gfxdata="UEsDBAoAAAAAAIdO4kAAAAAAAAAAAAAAAAAEAAAAZHJzL1BLAwQUAAAACACHTuJAc7erf9kAAAAO&#10;AQAADwAAAGRycy9kb3ducmV2LnhtbE2PwW7CMAyG75N4h8hIu42kGVRQmnIA7bppsE3aLTSmrWic&#10;qgm0e/ulp+1o/59+f853o23ZHXvfOFKQLAQwpNKZhioFH6eXpzUwHzQZ3TpCBT/oYVfMHnKdGTfQ&#10;O96PoWKxhHymFdQhdBnnvqzRar9wHVLMLq63OsSxr7jp9RDLbculECm3uqF4odYd7mssr8ebVfD5&#10;evn+Woq36mBX3eBGwcluuFKP80RsgQUcwx8Mk35UhyI6nd2NjGetgrVcJRGNQSrlM7AJkYlYAjtP&#10;u3QjgBc5//9G8QtQSwMEFAAAAAgAh07iQEJQU43OAQAAiAMAAA4AAABkcnMvZTJvRG9jLnhtbK1T&#10;zY7TMBC+I/EOlu803dBUbNR0JVQtFwRICw/gOpPGku2xbLdJeQB4A05cuPNcfQ7GTrdUy2UPXJLx&#10;/Hye75vx6m40mh3AB4W24TezOWdgJbbK7hr+5fP9qzechShsKzRaaPgRAr9bv3yxGlwNJfaoW/CM&#10;QGyoB9fwPkZXF0WQPRgRZujAUrBDb0Sko98VrRcDoRtdlPP5shjQt86jhBDIu5mC/IzonwOIXack&#10;bFDuDdg4oXrQIhKl0CsX+Dp323Ug48euCxCZbjgxjflLl5C9Td9ivRL1zgvXK3luQTynhSecjFCW&#10;Lr1AbUQUbO/VP1BGSY8BuziTaIqJSFaEWNzMn2jz0AsHmQtJHdxF9PD/YOWHwyfPVNvw1ySJFYYm&#10;fvrx/fTz9+nXN0Y+Emhwoaa8B0eZcXyLI63Noz+QM/EeO2/SnxgxihPW8SIvjJFJcpaLxXJZVZxJ&#10;ipW3y2pRJZjib7XzIb4DNCwZDfc0vqyqOLwPcUp9TEmXWbxXWucRasuGht9WZZULriJGRfBTrbap&#10;CvJanAETt4lDsuK4HSk1mVtsj8SXHgo10qP/ypmwkoyGR872zqtdT5EsRJEKaECZy3mZ0gZcn8m+&#10;fkD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O3q3/ZAAAADgEAAA8AAAAAAAAAAQAgAAAAIgAA&#10;AGRycy9kb3ducmV2LnhtbFBLAQIUABQAAAAIAIdO4kBCUFONzgEAAIgDAAAOAAAAAAAAAAEAIAAA&#10;ACgBAABkcnMvZTJvRG9jLnhtbFBLBQYAAAAABgAGAFkBAABoBQAAAAA=&#10;">
                <v:fill on="f" focussize="0,0"/>
                <v:stroke on="f" joinstyle="miter"/>
                <v:imagedata o:title=""/>
                <o:lock v:ext="edit" aspectratio="f"/>
                <v:textbox>
                  <w:txbxContent>
                    <w:p>
                      <w:pPr>
                        <w:pStyle w:val="3"/>
                        <w:pBdr>
                          <w:bottom w:val="none" w:color="auto" w:sz="0" w:space="0"/>
                        </w:pBdr>
                        <w:jc w:val="both"/>
                        <w:rPr>
                          <w:rFonts w:hint="eastAsia"/>
                          <w:b/>
                          <w:sz w:val="24"/>
                          <w:szCs w:val="24"/>
                          <w:lang w:eastAsia="zh-CN"/>
                        </w:rPr>
                      </w:pPr>
                    </w:p>
                    <w:p>
                      <w:pPr>
                        <w:pStyle w:val="3"/>
                        <w:pBdr>
                          <w:bottom w:val="none" w:color="auto" w:sz="0" w:space="0"/>
                        </w:pBdr>
                        <w:jc w:val="both"/>
                        <w:rPr>
                          <w:b/>
                          <w:sz w:val="24"/>
                          <w:szCs w:val="24"/>
                          <w:lang w:val="zh-CN" w:eastAsia="zh-CN"/>
                        </w:rPr>
                      </w:pPr>
                      <w:r>
                        <w:rPr>
                          <w:rFonts w:hint="eastAsia"/>
                          <w:b/>
                          <w:sz w:val="24"/>
                          <w:szCs w:val="24"/>
                          <w:lang w:eastAsia="zh-CN"/>
                        </w:rPr>
                        <w:t>预约</w:t>
                      </w:r>
                      <w:r>
                        <w:rPr>
                          <w:rFonts w:hint="eastAsia"/>
                          <w:b/>
                          <w:sz w:val="24"/>
                          <w:szCs w:val="24"/>
                        </w:rPr>
                        <w:t>官网：www.timesmba.com</w:t>
                      </w:r>
                    </w:p>
                    <w:p>
                      <w:pPr>
                        <w:jc w:val="center"/>
                        <w:rPr>
                          <w:rFonts w:hint="default" w:ascii="Arial" w:hAnsi="Arial" w:eastAsia="华康雅宋体W9" w:cs="Arial"/>
                          <w:i w:val="0"/>
                          <w:iCs w:val="0"/>
                          <w:sz w:val="22"/>
                          <w:szCs w:val="22"/>
                        </w:rPr>
                      </w:pPr>
                    </w:p>
                  </w:txbxContent>
                </v:textbox>
              </v:shape>
            </w:pict>
          </mc:Fallback>
        </mc:AlternateContent>
      </w:r>
      <w:r>
        <w:rPr>
          <w:rFonts w:hint="eastAsia" w:ascii="微软雅黑" w:hAnsi="微软雅黑" w:eastAsia="微软雅黑" w:cs="微软雅黑"/>
          <w:b/>
          <w:i w:val="0"/>
          <w:iCs w:val="0"/>
          <w:color w:val="auto"/>
          <w:sz w:val="28"/>
          <w:szCs w:val="28"/>
          <w:u w:val="single"/>
          <w:lang w:val="en-US" w:eastAsia="zh-CN"/>
        </w:rPr>
        <w:t xml:space="preserve">      </w:t>
      </w:r>
      <w:r>
        <w:rPr>
          <w:rFonts w:hint="eastAsia" w:ascii="微软雅黑" w:hAnsi="微软雅黑" w:eastAsia="微软雅黑" w:cs="微软雅黑"/>
          <w:b w:val="0"/>
          <w:bCs/>
          <w:color w:val="auto"/>
          <w:sz w:val="22"/>
          <w:szCs w:val="22"/>
          <w:lang w:val="en-US" w:eastAsia="zh-CN"/>
        </w:rPr>
        <w:t>公司，诚邀贵单位参与</w:t>
      </w:r>
      <w:r>
        <w:rPr>
          <w:rFonts w:hint="eastAsia" w:ascii="微软雅黑" w:hAnsi="微软雅黑" w:eastAsia="微软雅黑" w:cs="微软雅黑"/>
          <w:b w:val="0"/>
          <w:bCs w:val="0"/>
          <w:sz w:val="22"/>
          <w:szCs w:val="22"/>
        </w:rPr>
        <w:t>《</w:t>
      </w:r>
      <w:r>
        <w:rPr>
          <w:rFonts w:hint="eastAsia" w:ascii="微软雅黑" w:hAnsi="微软雅黑" w:eastAsia="微软雅黑" w:cs="微软雅黑"/>
          <w:b w:val="0"/>
          <w:bCs w:val="0"/>
          <w:sz w:val="22"/>
          <w:szCs w:val="22"/>
          <w:lang w:eastAsia="zh-CN"/>
        </w:rPr>
        <w:t>新形势下的企业投融资管理</w:t>
      </w:r>
      <w:r>
        <w:rPr>
          <w:rFonts w:hint="eastAsia" w:ascii="微软雅黑" w:hAnsi="微软雅黑" w:eastAsia="微软雅黑" w:cs="微软雅黑"/>
          <w:b w:val="0"/>
          <w:bCs w:val="0"/>
          <w:sz w:val="22"/>
          <w:szCs w:val="22"/>
        </w:rPr>
        <w:t>》</w:t>
      </w:r>
      <w:r>
        <w:rPr>
          <w:rFonts w:hint="eastAsia" w:ascii="微软雅黑" w:hAnsi="微软雅黑" w:eastAsia="微软雅黑" w:cs="微软雅黑"/>
          <w:b w:val="0"/>
          <w:bCs/>
          <w:color w:val="auto"/>
          <w:sz w:val="22"/>
          <w:szCs w:val="22"/>
          <w:lang w:val="en-US" w:eastAsia="zh-CN"/>
        </w:rPr>
        <w:t>课程！</w:t>
      </w:r>
    </w:p>
    <w:p>
      <w:pPr>
        <w:jc w:val="center"/>
        <w:rPr>
          <w:rFonts w:hint="eastAsia" w:ascii="微软雅黑" w:hAnsi="微软雅黑" w:eastAsia="微软雅黑" w:cs="微软雅黑"/>
          <w:b/>
          <w:bCs/>
          <w:color w:val="C00000"/>
          <w:sz w:val="44"/>
          <w:szCs w:val="44"/>
        </w:rPr>
      </w:pPr>
      <w:r>
        <w:rPr>
          <w:rFonts w:hint="eastAsia" w:ascii="微软雅黑" w:hAnsi="微软雅黑" w:eastAsia="微软雅黑" w:cs="微软雅黑"/>
          <w:b/>
          <w:bCs/>
          <w:color w:val="C00000"/>
          <w:sz w:val="44"/>
          <w:szCs w:val="44"/>
        </w:rPr>
        <w:t>《</w:t>
      </w:r>
      <w:r>
        <w:rPr>
          <w:rFonts w:hint="eastAsia" w:ascii="微软雅黑" w:hAnsi="微软雅黑" w:eastAsia="微软雅黑" w:cs="微软雅黑"/>
          <w:b/>
          <w:bCs/>
          <w:color w:val="C00000"/>
          <w:sz w:val="44"/>
          <w:szCs w:val="44"/>
          <w:lang w:eastAsia="zh-CN"/>
        </w:rPr>
        <w:t>新形势下的企业投融资管理</w:t>
      </w:r>
      <w:r>
        <w:rPr>
          <w:rFonts w:hint="eastAsia" w:ascii="微软雅黑" w:hAnsi="微软雅黑" w:eastAsia="微软雅黑" w:cs="微软雅黑"/>
          <w:b/>
          <w:bCs/>
          <w:color w:val="C00000"/>
          <w:sz w:val="44"/>
          <w:szCs w:val="44"/>
        </w:rPr>
        <w:t>》</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
          <w:color w:val="auto"/>
          <w:sz w:val="24"/>
          <w:szCs w:val="24"/>
          <w:lang w:val="zh-CN" w:eastAsia="zh-CN"/>
        </w:rPr>
        <w:t>【课程时间】</w:t>
      </w:r>
      <w:r>
        <w:rPr>
          <w:rFonts w:hint="eastAsia" w:ascii="微软雅黑" w:hAnsi="微软雅黑" w:eastAsia="微软雅黑" w:cs="微软雅黑"/>
          <w:bCs/>
          <w:color w:val="auto"/>
          <w:sz w:val="24"/>
          <w:szCs w:val="24"/>
          <w:lang w:val="en-US" w:eastAsia="zh-CN"/>
        </w:rPr>
        <w:t>2021年6月19-20日，广州开课</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微软雅黑" w:hAnsi="微软雅黑" w:eastAsia="微软雅黑" w:cs="微软雅黑"/>
          <w:bCs/>
          <w:color w:val="auto"/>
          <w:sz w:val="24"/>
          <w:szCs w:val="24"/>
          <w:lang w:val="zh-CN"/>
        </w:rPr>
      </w:pPr>
      <w:r>
        <w:rPr>
          <w:rFonts w:hint="eastAsia" w:ascii="微软雅黑" w:hAnsi="微软雅黑" w:eastAsia="微软雅黑" w:cs="微软雅黑"/>
          <w:b/>
          <w:color w:val="auto"/>
          <w:sz w:val="24"/>
          <w:szCs w:val="24"/>
          <w:lang w:val="zh-CN"/>
        </w:rPr>
        <w:t>【培训对象】</w:t>
      </w:r>
      <w:r>
        <w:rPr>
          <w:rFonts w:hint="eastAsia" w:ascii="微软雅黑" w:hAnsi="微软雅黑" w:eastAsia="微软雅黑" w:cs="微软雅黑"/>
          <w:bCs/>
          <w:color w:val="auto"/>
          <w:sz w:val="24"/>
          <w:szCs w:val="24"/>
          <w:lang w:val="zh-CN"/>
        </w:rPr>
        <w:t>董事长、总裁、总经理、投融资专业人士、律师、会计师、金融机构管理人员、主管产业投资基金的政府干部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w:t>
      </w:r>
      <w:r>
        <w:rPr>
          <w:rFonts w:hint="eastAsia" w:ascii="微软雅黑" w:hAnsi="微软雅黑" w:eastAsia="微软雅黑" w:cs="微软雅黑"/>
          <w:b/>
          <w:color w:val="auto"/>
          <w:sz w:val="24"/>
          <w:szCs w:val="24"/>
        </w:rPr>
        <w:t>课程费用】</w:t>
      </w:r>
      <w:r>
        <w:rPr>
          <w:rFonts w:hint="eastAsia" w:ascii="微软雅黑" w:hAnsi="微软雅黑" w:eastAsia="微软雅黑" w:cs="微软雅黑"/>
          <w:b w:val="0"/>
          <w:bCs/>
          <w:color w:val="auto"/>
          <w:sz w:val="24"/>
          <w:szCs w:val="24"/>
          <w:lang w:val="en-US" w:eastAsia="zh-CN"/>
        </w:rPr>
        <w:t>3</w:t>
      </w:r>
      <w:r>
        <w:rPr>
          <w:rFonts w:hint="eastAsia" w:ascii="微软雅黑" w:hAnsi="微软雅黑" w:eastAsia="微软雅黑" w:cs="微软雅黑"/>
          <w:bCs/>
          <w:color w:val="auto"/>
          <w:sz w:val="24"/>
          <w:szCs w:val="24"/>
          <w:lang w:val="en-US" w:eastAsia="zh-CN"/>
        </w:rPr>
        <w:t>8</w:t>
      </w:r>
      <w:r>
        <w:rPr>
          <w:rFonts w:hint="eastAsia" w:ascii="微软雅黑" w:hAnsi="微软雅黑" w:eastAsia="微软雅黑" w:cs="微软雅黑"/>
          <w:bCs/>
          <w:color w:val="auto"/>
          <w:sz w:val="24"/>
          <w:szCs w:val="24"/>
        </w:rPr>
        <w:t>00元/人</w:t>
      </w:r>
      <w:r>
        <w:rPr>
          <w:rFonts w:hint="eastAsia" w:ascii="微软雅黑" w:hAnsi="微软雅黑" w:eastAsia="微软雅黑" w:cs="微软雅黑"/>
          <w:b w:val="0"/>
          <w:bCs/>
          <w:color w:val="auto"/>
          <w:sz w:val="24"/>
          <w:szCs w:val="24"/>
          <w:lang w:eastAsia="zh-CN"/>
        </w:rPr>
        <w:t>，费用</w:t>
      </w:r>
      <w:bookmarkStart w:id="0" w:name="_GoBack"/>
      <w:bookmarkEnd w:id="0"/>
      <w:r>
        <w:rPr>
          <w:rFonts w:hint="eastAsia" w:ascii="微软雅黑" w:hAnsi="微软雅黑" w:eastAsia="微软雅黑" w:cs="微软雅黑"/>
          <w:b w:val="0"/>
          <w:bCs/>
          <w:color w:val="auto"/>
          <w:sz w:val="24"/>
          <w:szCs w:val="24"/>
          <w:lang w:eastAsia="zh-CN"/>
        </w:rPr>
        <w:t>包含：学费、资料费、休闲点心及其它服务费，交通和食宿费用自理。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
          <w:bCs w:val="0"/>
          <w:color w:val="auto"/>
          <w:sz w:val="24"/>
          <w:szCs w:val="24"/>
          <w:lang w:eastAsia="zh-CN"/>
        </w:rPr>
        <w:t>【报名咨询】</w:t>
      </w:r>
      <w:r>
        <w:rPr>
          <w:rFonts w:hint="eastAsia" w:ascii="微软雅黑" w:hAnsi="微软雅黑" w:eastAsia="微软雅黑" w:cs="微软雅黑"/>
          <w:bCs/>
          <w:color w:val="auto"/>
          <w:sz w:val="24"/>
          <w:szCs w:val="24"/>
          <w:lang w:eastAsia="zh-CN"/>
        </w:rPr>
        <w:t>艾老师</w:t>
      </w:r>
      <w:r>
        <w:rPr>
          <w:rFonts w:hint="eastAsia" w:ascii="微软雅黑" w:hAnsi="微软雅黑" w:eastAsia="微软雅黑" w:cs="微软雅黑"/>
          <w:bCs/>
          <w:color w:val="auto"/>
          <w:sz w:val="24"/>
          <w:szCs w:val="24"/>
          <w:lang w:val="en-US" w:eastAsia="zh-CN"/>
        </w:rPr>
        <w:t>13924220993</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微软雅黑" w:hAnsi="微软雅黑" w:eastAsia="微软雅黑" w:cs="微软雅黑"/>
          <w:bCs/>
          <w:color w:val="auto"/>
          <w:sz w:val="24"/>
          <w:szCs w:val="24"/>
          <w:lang w:val="en-US" w:eastAsia="zh-CN"/>
        </w:rPr>
      </w:pPr>
    </w:p>
    <w:p>
      <w:pPr>
        <w:shd w:val="clear" w:color="auto" w:fill="D7D7D7"/>
        <w:jc w:val="center"/>
        <w:rPr>
          <w:rFonts w:hint="eastAsia" w:ascii="微软雅黑" w:hAnsi="微软雅黑" w:eastAsia="微软雅黑" w:cs="微软雅黑"/>
          <w:b/>
          <w:sz w:val="24"/>
          <w:szCs w:val="24"/>
        </w:rPr>
      </w:pPr>
      <w:r>
        <w:rPr>
          <w:rFonts w:hint="eastAsia" w:ascii="微软雅黑" w:hAnsi="微软雅黑" w:eastAsia="微软雅黑" w:cs="微软雅黑"/>
          <w:b/>
          <w:color w:val="C00000"/>
          <w:sz w:val="30"/>
          <w:szCs w:val="30"/>
        </w:rPr>
        <w:t>主讲老师：</w:t>
      </w:r>
      <w:r>
        <w:rPr>
          <w:rFonts w:hint="eastAsia" w:ascii="微软雅黑" w:hAnsi="微软雅黑" w:eastAsia="微软雅黑" w:cs="微软雅黑"/>
          <w:b/>
          <w:color w:val="C00000"/>
          <w:sz w:val="30"/>
          <w:szCs w:val="30"/>
          <w:lang w:eastAsia="zh-CN"/>
        </w:rPr>
        <w:t>崔</w:t>
      </w:r>
      <w:r>
        <w:rPr>
          <w:rFonts w:hint="eastAsia" w:ascii="微软雅黑" w:hAnsi="微软雅黑" w:eastAsia="微软雅黑" w:cs="微软雅黑"/>
          <w:b/>
          <w:color w:val="C00000"/>
          <w:sz w:val="30"/>
          <w:szCs w:val="30"/>
          <w:lang w:val="en-US" w:eastAsia="zh-CN"/>
        </w:rPr>
        <w:t>老师</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anchor distT="0" distB="0" distL="114300" distR="114300" simplePos="0" relativeHeight="251663360" behindDoc="0" locked="0" layoutInCell="1" allowOverlap="1">
            <wp:simplePos x="0" y="0"/>
            <wp:positionH relativeFrom="column">
              <wp:posOffset>4024630</wp:posOffset>
            </wp:positionH>
            <wp:positionV relativeFrom="paragraph">
              <wp:posOffset>74295</wp:posOffset>
            </wp:positionV>
            <wp:extent cx="2045335" cy="2545715"/>
            <wp:effectExtent l="0" t="0" r="12065" b="698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2045335" cy="2545715"/>
                    </a:xfrm>
                    <a:prstGeom prst="rect">
                      <a:avLst/>
                    </a:prstGeom>
                    <a:noFill/>
                    <a:ln>
                      <a:noFill/>
                    </a:ln>
                  </pic:spPr>
                </pic:pic>
              </a:graphicData>
            </a:graphic>
          </wp:anchor>
        </w:drawing>
      </w:r>
      <w:r>
        <w:rPr>
          <w:rFonts w:hint="eastAsia" w:ascii="微软雅黑" w:hAnsi="微软雅黑" w:eastAsia="微软雅黑" w:cs="微软雅黑"/>
          <w:sz w:val="24"/>
          <w:szCs w:val="24"/>
        </w:rPr>
        <w:t>工学博士和管理学博士，上海交通大学MBA课程教授，宾夕法尼亚大学访问学者，并在沃顿商学院选修《并购投资》课程。先后兼任新农开发（600359）、亚盛集团（600108）和保龄宝（002286）等多家上市公司独立董事及数十家公司战略顾问，在资本运营业务领域积累了丰富的实战经验。先后到二十多个省市调研过数百家企业，参与完成了达能分拆正广和、中粮集团并购融氏企业、冠生园集团重组等项目。著有财经畅销书《投融资那点事》等8本书籍。多次就热点话题接受CCTV、中国经营报、阿里巴巴等媒体采访，主讲的《资本运营》课程视频先后在国内三十多家电视台播出。应邀在清华大学、北京大学、复旦大学、上海交通大学、浙江大学、南京大学等二十几所高校执教EMBA课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微软雅黑" w:hAnsi="微软雅黑" w:eastAsia="微软雅黑" w:cs="微软雅黑"/>
          <w:b/>
          <w:sz w:val="24"/>
          <w:szCs w:val="24"/>
          <w:lang w:eastAsia="zh-CN"/>
        </w:rPr>
      </w:pPr>
    </w:p>
    <w:p>
      <w:pPr>
        <w:shd w:val="clear" w:color="auto" w:fill="D7D7D7"/>
        <w:jc w:val="center"/>
        <w:rPr>
          <w:rFonts w:hint="eastAsia" w:ascii="微软雅黑" w:hAnsi="微软雅黑" w:eastAsia="微软雅黑" w:cs="微软雅黑"/>
          <w:b/>
          <w:color w:val="C00000"/>
          <w:sz w:val="30"/>
          <w:szCs w:val="30"/>
          <w:lang w:val="en-US" w:eastAsia="zh-CN"/>
        </w:rPr>
      </w:pPr>
      <w:r>
        <w:rPr>
          <w:rFonts w:hint="eastAsia" w:ascii="微软雅黑" w:hAnsi="微软雅黑" w:eastAsia="微软雅黑" w:cs="微软雅黑"/>
          <w:b/>
          <w:color w:val="C00000"/>
          <w:sz w:val="30"/>
          <w:szCs w:val="30"/>
          <w:lang w:val="en-US" w:eastAsia="zh-CN"/>
        </w:rPr>
        <w:t>课程背景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做企业，本质上是一种资源整合游戏，单打独斗的年代已经渐行渐远。中国经济进入“内循环”周期，摆在大家面前的只有三条道路：其一，合纵连横、抱团取暖；其二，战略转型、二次创业；其三，急流勇退、把企业卖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无论是选择“进”，还是选择“退”，都需要慎重考虑以下问题：谁是潜在的投资者与合作伙伴？投资入股应关注哪些事宜？你的公司值多少钱？挂牌上市有哪些利和弊？诱人的机会后隐藏着哪些陷阱？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ascii="微软雅黑" w:hAnsi="微软雅黑" w:eastAsia="微软雅黑" w:cs="微软雅黑"/>
          <w:b w:val="0"/>
          <w:bCs/>
          <w:sz w:val="24"/>
          <w:szCs w:val="24"/>
        </w:rPr>
      </w:pPr>
    </w:p>
    <w:p>
      <w:pPr>
        <w:shd w:val="clear" w:color="auto" w:fill="D7D7D7"/>
        <w:jc w:val="center"/>
        <w:rPr>
          <w:rFonts w:hint="eastAsia" w:ascii="微软雅黑" w:hAnsi="微软雅黑" w:eastAsia="微软雅黑" w:cs="微软雅黑"/>
          <w:b/>
          <w:color w:val="C00000"/>
          <w:sz w:val="30"/>
          <w:szCs w:val="30"/>
          <w:lang w:val="en-US" w:eastAsia="zh-CN"/>
        </w:rPr>
      </w:pPr>
      <w:r>
        <w:rPr>
          <w:rFonts w:hint="eastAsia" w:ascii="微软雅黑" w:hAnsi="微软雅黑" w:eastAsia="微软雅黑" w:cs="微软雅黑"/>
          <w:b/>
          <w:color w:val="C00000"/>
          <w:sz w:val="30"/>
          <w:szCs w:val="30"/>
          <w:lang w:val="en-US" w:eastAsia="zh-CN"/>
        </w:rPr>
        <w:t>课程目标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本课程实务性很强，适合企业高层管理人员、政府有关部门的工作人员以及对该题目有兴趣的大学或研究机构的专业人员等。课程将基于对产业经营和资本运营的深刻认知，向学员输出切合实际的资本运营策略与技能。到本课程结束时，学员将能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深刻领会资本对公司的意义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熟悉投融资的步骤与方法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学会投融资的关键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了解公司上市的关键问题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ascii="微软雅黑" w:hAnsi="微软雅黑" w:eastAsia="微软雅黑" w:cs="微软雅黑"/>
          <w:b w:val="0"/>
          <w:bCs/>
          <w:sz w:val="24"/>
          <w:szCs w:val="24"/>
        </w:rPr>
      </w:pPr>
    </w:p>
    <w:p>
      <w:pPr>
        <w:shd w:val="clear" w:color="auto" w:fill="D7D7D7"/>
        <w:jc w:val="center"/>
        <w:rPr>
          <w:rFonts w:hint="eastAsia" w:ascii="微软雅黑" w:hAnsi="微软雅黑" w:eastAsia="微软雅黑" w:cs="微软雅黑"/>
          <w:b/>
          <w:color w:val="C00000"/>
          <w:sz w:val="30"/>
          <w:szCs w:val="30"/>
          <w:lang w:val="en-US" w:eastAsia="zh-CN"/>
        </w:rPr>
      </w:pPr>
      <w:r>
        <w:rPr>
          <w:rFonts w:hint="eastAsia" w:ascii="微软雅黑" w:hAnsi="微软雅黑" w:eastAsia="微软雅黑" w:cs="微软雅黑"/>
          <w:b/>
          <w:color w:val="C00000"/>
          <w:sz w:val="30"/>
          <w:szCs w:val="30"/>
          <w:lang w:val="en-US" w:eastAsia="zh-CN"/>
        </w:rPr>
        <w:t>课程大纲</w:t>
      </w:r>
    </w:p>
    <w:p>
      <w:pPr>
        <w:spacing w:before="156" w:beforeLines="50" w:after="156" w:afterLines="50"/>
        <w:ind w:left="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1.资本运营：婚姻的艺术</w:t>
      </w:r>
    </w:p>
    <w:p>
      <w:pPr>
        <w:numPr>
          <w:ilvl w:val="0"/>
          <w:numId w:val="2"/>
        </w:numPr>
        <w:autoSpaceDE w:val="0"/>
        <w:autoSpaceDN w:val="0"/>
        <w:adjustRightIn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《三国演义》的资本谋略</w:t>
      </w:r>
    </w:p>
    <w:p>
      <w:pPr>
        <w:numPr>
          <w:ilvl w:val="0"/>
          <w:numId w:val="2"/>
        </w:numPr>
        <w:autoSpaceDE w:val="0"/>
        <w:autoSpaceDN w:val="0"/>
        <w:adjustRightIn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产业经营 VS 资本运营</w:t>
      </w:r>
    </w:p>
    <w:p>
      <w:pPr>
        <w:numPr>
          <w:ilvl w:val="0"/>
          <w:numId w:val="2"/>
        </w:numPr>
        <w:autoSpaceDE w:val="0"/>
        <w:autoSpaceDN w:val="0"/>
        <w:adjustRightIn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十大投资关键要素</w:t>
      </w:r>
    </w:p>
    <w:p>
      <w:pPr>
        <w:numPr>
          <w:ilvl w:val="0"/>
          <w:numId w:val="2"/>
        </w:numPr>
        <w:autoSpaceDE w:val="0"/>
        <w:autoSpaceDN w:val="0"/>
        <w:adjustRightIn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投资的基本操作流程</w:t>
      </w:r>
    </w:p>
    <w:p>
      <w:pPr>
        <w:spacing w:before="156" w:beforeLines="50" w:after="156" w:afterLines="50"/>
        <w:ind w:left="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2.尽职调查：恋爱的玄机！</w:t>
      </w:r>
    </w:p>
    <w:p>
      <w:pPr>
        <w:autoSpaceDE w:val="0"/>
        <w:autoSpaceDN w:val="0"/>
        <w:adjustRightInd w:val="0"/>
        <w:ind w:left="36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《天仙配》的启示</w:t>
      </w:r>
    </w:p>
    <w:p>
      <w:pPr>
        <w:autoSpaceDE w:val="0"/>
        <w:autoSpaceDN w:val="0"/>
        <w:adjustRightInd w:val="0"/>
        <w:ind w:left="36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尽职调查的关注要点</w:t>
      </w:r>
    </w:p>
    <w:p>
      <w:pPr>
        <w:autoSpaceDE w:val="0"/>
        <w:autoSpaceDN w:val="0"/>
        <w:adjustRightInd w:val="0"/>
        <w:ind w:left="36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对尽职调查的心态</w:t>
      </w:r>
    </w:p>
    <w:p>
      <w:pPr>
        <w:autoSpaceDE w:val="0"/>
        <w:autoSpaceDN w:val="0"/>
        <w:adjustRightInd w:val="0"/>
        <w:ind w:left="36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“非常规”尽职调查方法</w:t>
      </w:r>
    </w:p>
    <w:p>
      <w:pPr>
        <w:spacing w:before="156" w:beforeLines="50" w:after="156" w:afterLines="50"/>
        <w:ind w:left="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3.合同协议：订婚的事项</w:t>
      </w:r>
    </w:p>
    <w:p>
      <w:pPr>
        <w:autoSpaceDE w:val="0"/>
        <w:autoSpaceDN w:val="0"/>
        <w:adjustRightInd w:val="0"/>
        <w:ind w:left="36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合同架构设计</w:t>
      </w:r>
    </w:p>
    <w:p>
      <w:pPr>
        <w:autoSpaceDE w:val="0"/>
        <w:autoSpaceDN w:val="0"/>
        <w:adjustRightInd w:val="0"/>
        <w:ind w:left="36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股权结构设计</w:t>
      </w:r>
    </w:p>
    <w:p>
      <w:pPr>
        <w:autoSpaceDE w:val="0"/>
        <w:autoSpaceDN w:val="0"/>
        <w:adjustRightInd w:val="0"/>
        <w:ind w:left="36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章程关键条款</w:t>
      </w:r>
    </w:p>
    <w:p>
      <w:pPr>
        <w:autoSpaceDE w:val="0"/>
        <w:autoSpaceDN w:val="0"/>
        <w:adjustRightInd w:val="0"/>
        <w:ind w:left="36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风险控制条款</w:t>
      </w:r>
    </w:p>
    <w:p>
      <w:pPr>
        <w:spacing w:before="156" w:beforeLines="50" w:after="156" w:afterLines="50"/>
        <w:ind w:left="420"/>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4.</w:t>
      </w:r>
      <w:r>
        <w:rPr>
          <w:rFonts w:hint="eastAsia" w:ascii="微软雅黑" w:hAnsi="微软雅黑" w:eastAsia="微软雅黑" w:cs="微软雅黑"/>
          <w:b/>
          <w:bCs/>
          <w:sz w:val="24"/>
          <w:szCs w:val="24"/>
        </w:rPr>
        <w:t xml:space="preserve"> 企业估值：彩礼与嫁妆</w:t>
      </w:r>
    </w:p>
    <w:p>
      <w:pPr>
        <w:autoSpaceDE w:val="0"/>
        <w:autoSpaceDN w:val="0"/>
        <w:adjustRightInd w:val="0"/>
        <w:ind w:left="36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 xml:space="preserve">－ </w:t>
      </w:r>
      <w:r>
        <w:rPr>
          <w:rFonts w:hint="eastAsia" w:ascii="微软雅黑" w:hAnsi="微软雅黑" w:eastAsia="微软雅黑" w:cs="微软雅黑"/>
          <w:kern w:val="0"/>
          <w:sz w:val="24"/>
          <w:szCs w:val="24"/>
        </w:rPr>
        <w:t xml:space="preserve"> 彩礼：万紫千红一片绿</w:t>
      </w:r>
    </w:p>
    <w:p>
      <w:pPr>
        <w:autoSpaceDE w:val="0"/>
        <w:autoSpaceDN w:val="0"/>
        <w:adjustRightInd w:val="0"/>
        <w:ind w:left="36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 xml:space="preserve">－ </w:t>
      </w:r>
      <w:r>
        <w:rPr>
          <w:rFonts w:hint="eastAsia" w:ascii="微软雅黑" w:hAnsi="微软雅黑" w:eastAsia="微软雅黑" w:cs="微软雅黑"/>
          <w:kern w:val="0"/>
          <w:sz w:val="24"/>
          <w:szCs w:val="24"/>
        </w:rPr>
        <w:t xml:space="preserve"> 企业价值评估方法</w:t>
      </w:r>
    </w:p>
    <w:p>
      <w:pPr>
        <w:autoSpaceDE w:val="0"/>
        <w:autoSpaceDN w:val="0"/>
        <w:adjustRightInd w:val="0"/>
        <w:ind w:left="36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影响企业估值的主要要素</w:t>
      </w:r>
    </w:p>
    <w:p>
      <w:pPr>
        <w:autoSpaceDE w:val="0"/>
        <w:autoSpaceDN w:val="0"/>
        <w:adjustRightInd w:val="0"/>
        <w:ind w:left="36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富豪榜、MBA与电影票房</w:t>
      </w:r>
    </w:p>
    <w:p>
      <w:pPr>
        <w:spacing w:before="156" w:beforeLines="50" w:after="156" w:afterLines="50"/>
        <w:ind w:left="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5．合资以后：挨七年之痒</w:t>
      </w:r>
    </w:p>
    <w:p>
      <w:pPr>
        <w:autoSpaceDE w:val="0"/>
        <w:autoSpaceDN w:val="0"/>
        <w:adjustRightInd w:val="0"/>
        <w:ind w:left="36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整合重组VS器官移植</w:t>
      </w:r>
    </w:p>
    <w:p>
      <w:pPr>
        <w:autoSpaceDE w:val="0"/>
        <w:autoSpaceDN w:val="0"/>
        <w:adjustRightInd w:val="0"/>
        <w:ind w:left="36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整合重组十步法</w:t>
      </w:r>
    </w:p>
    <w:p>
      <w:pPr>
        <w:autoSpaceDE w:val="0"/>
        <w:autoSpaceDN w:val="0"/>
        <w:adjustRightInd w:val="0"/>
        <w:ind w:left="36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股东博弈：强势VS弱势</w:t>
      </w:r>
    </w:p>
    <w:p>
      <w:pPr>
        <w:autoSpaceDE w:val="0"/>
        <w:autoSpaceDN w:val="0"/>
        <w:adjustRightInd w:val="0"/>
        <w:ind w:left="36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外派高管的培养与管理</w:t>
      </w:r>
    </w:p>
    <w:p>
      <w:pPr>
        <w:autoSpaceDE w:val="0"/>
        <w:autoSpaceDN w:val="0"/>
        <w:adjustRightInd w:val="0"/>
        <w:ind w:left="36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整合成败的判定标准</w:t>
      </w:r>
    </w:p>
    <w:p>
      <w:pPr>
        <w:spacing w:before="156" w:beforeLines="50" w:after="156" w:afterLines="50"/>
        <w:ind w:left="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6．挂牌上市：可遇不可求</w:t>
      </w:r>
    </w:p>
    <w:p>
      <w:pPr>
        <w:autoSpaceDE w:val="0"/>
        <w:autoSpaceDN w:val="0"/>
        <w:adjustRightInd w:val="0"/>
        <w:ind w:left="36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《西游记》：创业与上市</w:t>
      </w:r>
    </w:p>
    <w:p>
      <w:pPr>
        <w:autoSpaceDE w:val="0"/>
        <w:autoSpaceDN w:val="0"/>
        <w:adjustRightInd w:val="0"/>
        <w:ind w:left="36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想好了，再做上市决定？</w:t>
      </w:r>
    </w:p>
    <w:p>
      <w:pPr>
        <w:autoSpaceDE w:val="0"/>
        <w:autoSpaceDN w:val="0"/>
        <w:adjustRightInd w:val="0"/>
        <w:ind w:left="36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上市重点问题的把握</w:t>
      </w:r>
    </w:p>
    <w:p>
      <w:pPr>
        <w:autoSpaceDE w:val="0"/>
        <w:autoSpaceDN w:val="0"/>
        <w:adjustRightInd w:val="0"/>
        <w:ind w:left="36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想好了，再决定上市！</w:t>
      </w:r>
    </w:p>
    <w:p>
      <w:pPr>
        <w:pStyle w:val="8"/>
        <w:numPr>
          <w:ilvl w:val="0"/>
          <w:numId w:val="0"/>
        </w:numPr>
        <w:spacing w:line="360" w:lineRule="auto"/>
        <w:rPr>
          <w:rFonts w:hint="eastAsia" w:ascii="微软雅黑" w:hAnsi="微软雅黑" w:eastAsia="微软雅黑" w:cs="微软雅黑"/>
          <w:b w:val="0"/>
          <w:bCs/>
          <w:kern w:val="2"/>
          <w:sz w:val="24"/>
          <w:szCs w:val="24"/>
          <w:lang w:val="en-US" w:eastAsia="zh-CN" w:bidi="ar-SA"/>
        </w:rPr>
      </w:pPr>
    </w:p>
    <w:sectPr>
      <w:headerReference r:id="rId3" w:type="default"/>
      <w:footerReference r:id="rId4" w:type="default"/>
      <w:type w:val="continuous"/>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康雅宋体W9">
    <w:altName w:val="宋体"/>
    <w:panose1 w:val="02020909000000000000"/>
    <w:charset w:val="86"/>
    <w:family w:val="auto"/>
    <w:pitch w:val="default"/>
    <w:sig w:usb0="00000000" w:usb1="00000000" w:usb2="00000012" w:usb3="00000000" w:csb0="00040000"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drawing>
        <wp:anchor distT="0" distB="0" distL="114300" distR="114300" simplePos="0" relativeHeight="251663360" behindDoc="0" locked="0" layoutInCell="1" allowOverlap="1">
          <wp:simplePos x="0" y="0"/>
          <wp:positionH relativeFrom="column">
            <wp:posOffset>4683125</wp:posOffset>
          </wp:positionH>
          <wp:positionV relativeFrom="paragraph">
            <wp:posOffset>-41910</wp:posOffset>
          </wp:positionV>
          <wp:extent cx="1925320" cy="617855"/>
          <wp:effectExtent l="0" t="0" r="0" b="0"/>
          <wp:wrapSquare wrapText="bothSides"/>
          <wp:docPr id="2" name="图片 1" descr="D:\各类教学模板和数据资料等\常用查看更新文件\2020时代华商新logo设计使用规范\时代华商logo使用规范\时代华商logo，png格式\时代华商logo蓝底黑字.png时代华商logo蓝底黑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各类教学模板和数据资料等\常用查看更新文件\2020时代华商新logo设计使用规范\时代华商logo使用规范\时代华商logo，png格式\时代华商logo蓝底黑字.png时代华商logo蓝底黑字"/>
                  <pic:cNvPicPr>
                    <a:picLocks noChangeAspect="1"/>
                  </pic:cNvPicPr>
                </pic:nvPicPr>
                <pic:blipFill>
                  <a:blip r:embed="rId1"/>
                  <a:srcRect/>
                  <a:stretch>
                    <a:fillRect/>
                  </a:stretch>
                </pic:blipFill>
                <pic:spPr>
                  <a:xfrm>
                    <a:off x="0" y="0"/>
                    <a:ext cx="1925320" cy="617855"/>
                  </a:xfrm>
                  <a:prstGeom prst="rect">
                    <a:avLst/>
                  </a:prstGeom>
                  <a:noFill/>
                  <a:ln w="9525">
                    <a:noFill/>
                  </a:ln>
                </pic:spPr>
              </pic:pic>
            </a:graphicData>
          </a:graphic>
        </wp:anchor>
      </w:drawing>
    </w:r>
    <w:r>
      <w:rPr>
        <w:lang w:val="zh-CN"/>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97155</wp:posOffset>
              </wp:positionV>
              <wp:extent cx="4572000" cy="757555"/>
              <wp:effectExtent l="0" t="0" r="0" b="0"/>
              <wp:wrapNone/>
              <wp:docPr id="10" name="Text Box 3"/>
              <wp:cNvGraphicFramePr/>
              <a:graphic xmlns:a="http://schemas.openxmlformats.org/drawingml/2006/main">
                <a:graphicData uri="http://schemas.microsoft.com/office/word/2010/wordprocessingShape">
                  <wps:wsp>
                    <wps:cNvSpPr txBox="1"/>
                    <wps:spPr>
                      <a:xfrm>
                        <a:off x="0" y="0"/>
                        <a:ext cx="4572000" cy="757555"/>
                      </a:xfrm>
                      <a:prstGeom prst="rect">
                        <a:avLst/>
                      </a:prstGeom>
                      <a:noFill/>
                      <a:ln w="9525">
                        <a:noFill/>
                        <a:miter/>
                      </a:ln>
                      <a:effectLst/>
                    </wps:spPr>
                    <wps:txbx>
                      <w:txbxContent>
                        <w:p>
                          <w:pPr>
                            <w:rPr>
                              <w:rFonts w:ascii="宋体" w:hAnsi="宋体" w:cs="微软雅黑"/>
                              <w:b/>
                              <w:szCs w:val="21"/>
                            </w:rPr>
                          </w:pPr>
                          <w:r>
                            <w:rPr>
                              <w:rFonts w:hint="eastAsia" w:ascii="宋体" w:hAnsi="宋体" w:cs="微软雅黑"/>
                              <w:b/>
                              <w:szCs w:val="21"/>
                            </w:rPr>
                            <w:t>招生联系电话：</w:t>
                          </w:r>
                          <w:r>
                            <w:rPr>
                              <w:rFonts w:hint="eastAsia" w:ascii="宋体" w:hAnsi="宋体" w:cs="微软雅黑"/>
                              <w:b/>
                              <w:szCs w:val="21"/>
                              <w:lang w:val="en-US" w:eastAsia="zh-CN"/>
                            </w:rPr>
                            <w:t>4009-020-882</w:t>
                          </w:r>
                        </w:p>
                        <w:p>
                          <w:pPr>
                            <w:spacing w:line="440" w:lineRule="exact"/>
                            <w:rPr>
                              <w:rFonts w:ascii="微软雅黑" w:hAnsi="微软雅黑" w:eastAsia="微软雅黑" w:cs="微软雅黑"/>
                              <w:szCs w:val="21"/>
                            </w:rPr>
                          </w:pPr>
                          <w:r>
                            <w:rPr>
                              <w:rFonts w:hint="eastAsia" w:ascii="宋体" w:hAnsi="宋体" w:cs="微软雅黑"/>
                              <w:b/>
                              <w:szCs w:val="21"/>
                            </w:rPr>
                            <w:t>详情请登录学员服务网站：</w:t>
                          </w:r>
                          <w:r>
                            <w:rPr>
                              <w:rFonts w:hint="eastAsia" w:ascii="宋体" w:hAnsi="宋体" w:cs="微软雅黑"/>
                              <w:szCs w:val="21"/>
                            </w:rPr>
                            <w:t>www.zdmba.com.cn</w:t>
                          </w:r>
                        </w:p>
                        <w:p>
                          <w:pPr>
                            <w:rPr>
                              <w:rFonts w:ascii="微软雅黑" w:hAnsi="微软雅黑" w:eastAsia="微软雅黑" w:cs="微软雅黑"/>
                              <w:szCs w:val="21"/>
                            </w:rPr>
                          </w:pPr>
                        </w:p>
                      </w:txbxContent>
                    </wps:txbx>
                    <wps:bodyPr upright="1"/>
                  </wps:wsp>
                </a:graphicData>
              </a:graphic>
            </wp:anchor>
          </w:drawing>
        </mc:Choice>
        <mc:Fallback>
          <w:pict>
            <v:shape id="Text Box 3" o:spid="_x0000_s1026" o:spt="202" type="#_x0000_t202" style="position:absolute;left:0pt;margin-left:-9.75pt;margin-top:7.65pt;height:59.65pt;width:360pt;z-index:251661312;mso-width-relative:page;mso-height-relative:page;" filled="f" stroked="f" coordsize="21600,21600" o:gfxdata="UEsDBAoAAAAAAIdO4kAAAAAAAAAAAAAAAAAEAAAAZHJzL1BLAwQUAAAACACHTuJAWogUmtcAAAAK&#10;AQAADwAAAGRycy9kb3ducmV2LnhtbE2PwW7CMBBE75X4B2uRegM7QGhJ43Bo1Wur0haJm4mXJCJe&#10;R7Eh6d93eyrHnXmancm3o2vFFfvQeNKQzBUIpNLbhioNX5+vs0cQIRqypvWEGn4wwLaY3OUms36g&#10;D7zuYiU4hEJmNNQxdpmUoazRmTD3HRJ7J987E/nsK2l7M3C4a+VCqbV0piH+UJsOn2ssz7uL0/D9&#10;djrsV+q9enFpN/hRSXIbqfX9NFFPICKO8R+Gv/pcHQrudPQXskG0GmbJJmWUjXQJgoEHpVg4srBc&#10;rUEWubydUPwCUEsDBBQAAAAIAIdO4kAaqawBrQEAAG8DAAAOAAAAZHJzL2Uyb0RvYy54bWytU02P&#10;0zAQvSPxHyzfqbuFUIiaroSq5YIAaZcf4DrjxpK/NHab9N8zdrrdarnsgYszno838944m/vJWXYC&#10;TCb4jt8tlpyBV6E3/tDxP08PH75wlrL0vbTBQ8fPkPj99v27zRhbWIUh2B6QEYhP7Rg7PuQcWyGS&#10;GsDJtAgRPAV1QCczXfEgepQjoTsrVsvlZzEG7CMGBSmRdzcH+QUR3wIYtDYKdkEdHfg8oyJYmYlS&#10;GkxMfFun1RpU/qV1gsxsx4lpric1IXtfTrHdyPaAMg5GXUaQbxnhFScnjaemV6idzJId0fwD5YzC&#10;kILOCxWcmIlURYjF3fKVNo+DjFC5kNQpXkVP/w9W/Tz9RmZ6egkkiZeONv4EU2bfwsQ+FnnGmFrK&#10;eoyUlydyU+qzP5GzsJ40uvIlPozihHS+ilvAFDk/NWtaP4UUxdbNummaAiNeqiOm/B2CY8XoONLy&#10;qqby9CPlOfU5pTTz4cFYWxdoPRs7/rVZNbXgJuJMBpxrrS9VUB/FBbBwmzkUK0/7iVKLuQ/9mfge&#10;I5rDQLNUxqJEaA916MubKYu+vZN9+59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iBSa1wAA&#10;AAoBAAAPAAAAAAAAAAEAIAAAACIAAABkcnMvZG93bnJldi54bWxQSwECFAAUAAAACACHTuJAGqms&#10;Aa0BAABvAwAADgAAAAAAAAABACAAAAAmAQAAZHJzL2Uyb0RvYy54bWxQSwUGAAAAAAYABgBZAQAA&#10;RQUAAAAA&#10;">
              <v:fill on="f" focussize="0,0"/>
              <v:stroke on="f" joinstyle="miter"/>
              <v:imagedata o:title=""/>
              <o:lock v:ext="edit" aspectratio="f"/>
              <v:textbox>
                <w:txbxContent>
                  <w:p>
                    <w:pPr>
                      <w:rPr>
                        <w:rFonts w:ascii="宋体" w:hAnsi="宋体" w:cs="微软雅黑"/>
                        <w:b/>
                        <w:szCs w:val="21"/>
                      </w:rPr>
                    </w:pPr>
                    <w:r>
                      <w:rPr>
                        <w:rFonts w:hint="eastAsia" w:ascii="宋体" w:hAnsi="宋体" w:cs="微软雅黑"/>
                        <w:b/>
                        <w:szCs w:val="21"/>
                      </w:rPr>
                      <w:t>招生联系电话：</w:t>
                    </w:r>
                    <w:r>
                      <w:rPr>
                        <w:rFonts w:hint="eastAsia" w:ascii="宋体" w:hAnsi="宋体" w:cs="微软雅黑"/>
                        <w:b/>
                        <w:szCs w:val="21"/>
                        <w:lang w:val="en-US" w:eastAsia="zh-CN"/>
                      </w:rPr>
                      <w:t>4009-020-882</w:t>
                    </w:r>
                  </w:p>
                  <w:p>
                    <w:pPr>
                      <w:spacing w:line="440" w:lineRule="exact"/>
                      <w:rPr>
                        <w:rFonts w:ascii="微软雅黑" w:hAnsi="微软雅黑" w:eastAsia="微软雅黑" w:cs="微软雅黑"/>
                        <w:szCs w:val="21"/>
                      </w:rPr>
                    </w:pPr>
                    <w:r>
                      <w:rPr>
                        <w:rFonts w:hint="eastAsia" w:ascii="宋体" w:hAnsi="宋体" w:cs="微软雅黑"/>
                        <w:b/>
                        <w:szCs w:val="21"/>
                      </w:rPr>
                      <w:t>详情请登录学员服务网站：</w:t>
                    </w:r>
                    <w:r>
                      <w:rPr>
                        <w:rFonts w:hint="eastAsia" w:ascii="宋体" w:hAnsi="宋体" w:cs="微软雅黑"/>
                        <w:szCs w:val="21"/>
                      </w:rPr>
                      <w:t>www.zdmba.com.cn</w:t>
                    </w:r>
                  </w:p>
                  <w:p>
                    <w:pPr>
                      <w:rPr>
                        <w:rFonts w:ascii="微软雅黑" w:hAnsi="微软雅黑" w:eastAsia="微软雅黑" w:cs="微软雅黑"/>
                        <w:szCs w:val="21"/>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-1096010</wp:posOffset>
              </wp:positionH>
              <wp:positionV relativeFrom="paragraph">
                <wp:posOffset>569595</wp:posOffset>
              </wp:positionV>
              <wp:extent cx="7362825" cy="133350"/>
              <wp:effectExtent l="0" t="0" r="9525" b="0"/>
              <wp:wrapNone/>
              <wp:docPr id="12" name="Rectangle 5"/>
              <wp:cNvGraphicFramePr/>
              <a:graphic xmlns:a="http://schemas.openxmlformats.org/drawingml/2006/main">
                <a:graphicData uri="http://schemas.microsoft.com/office/word/2010/wordprocessingShape">
                  <wps:wsp>
                    <wps:cNvSpPr/>
                    <wps:spPr>
                      <a:xfrm>
                        <a:off x="0" y="0"/>
                        <a:ext cx="7362825" cy="133350"/>
                      </a:xfrm>
                      <a:prstGeom prst="rect">
                        <a:avLst/>
                      </a:prstGeom>
                      <a:solidFill>
                        <a:srgbClr val="FFFFFF"/>
                      </a:solidFill>
                      <a:ln w="9525">
                        <a:noFill/>
                        <a:miter/>
                      </a:ln>
                      <a:effectLst/>
                    </wps:spPr>
                    <wps:bodyPr upright="1"/>
                  </wps:wsp>
                </a:graphicData>
              </a:graphic>
            </wp:anchor>
          </w:drawing>
        </mc:Choice>
        <mc:Fallback>
          <w:pict>
            <v:rect id="Rectangle 5" o:spid="_x0000_s1026" o:spt="1" style="position:absolute;left:0pt;margin-left:-86.3pt;margin-top:44.85pt;height:10.5pt;width:579.75pt;z-index:251662336;mso-width-relative:page;mso-height-relative:page;" fillcolor="#FFFFFF" filled="t" stroked="f" coordsize="21600,21600" o:gfxdata="UEsDBAoAAAAAAIdO4kAAAAAAAAAAAAAAAAAEAAAAZHJzL1BLAwQUAAAACACHTuJAEqeSwNgAAAAL&#10;AQAADwAAAGRycy9kb3ducmV2LnhtbE2Py07DMBBF90j8gzVI7Fo7BfIiThdIXQELWiS203iaRMR2&#10;iJ02/D3DCpaje3TvmWq72EGcaQq9dxqStQJBrvGmd62G98NulYMIEZ3BwTvS8E0BtvX1VYWl8Rf3&#10;Rud9bAWXuFCihi7GsZQyNB1ZDGs/kuPs5CeLkc+plWbCC5fbQW6USqXF3vFChyM9ddR87merAdN7&#10;8/V6uns5PM8pFu2idg8fSuvbm0Q9goi0xD8YfvVZHWp2OvrZmSAGDask26TMasiLDAQTRZ4WII6M&#10;JioDWVfy/w/1D1BLAwQUAAAACACHTuJAYlYm7L0BAACEAwAADgAAAGRycy9lMm9Eb2MueG1srVNN&#10;b9swDL0P2H8QdF+cOEjXGXF6WJBdhq1Yux+gyLQtQF8glTj596OULOu6Sw/zwSZF8pHvUV4/nJwV&#10;R0AywbdyMZtLAV6HzvihlT+fdx/upaCkfKds8NDKM5B82Lx/t55iA3UYg+0ABYN4aqbYyjGl2FQV&#10;6RGcolmI4DnYB3QqsYtD1aGaGN3Zqp7P76opYBcxaCDi0+0lKK+I+BbA0PdGwzbogwOfLqgIViWm&#10;RKOJJDdl2r4Hnb73PUEStpXMNJU3N2F7n9/VZq2aAVUcjb6OoN4ywitOThnPTW9QW5WUOKD5B8oZ&#10;jYFCn2Y6uOpCpCjCLBbzV9o8jSpC4cJSU7yJTv8PVn87PqIwHd+EWgqvHG/8B6um/GBBrLI+U6SG&#10;057iI149YjOTPfXo8pdpiFPR9HzTFE5JaD78uLyr7+uVFJpji+VyuSqiV3+qI1L6AsGJbLQSuXuR&#10;Uh2/UuKOnPo7JTejYE23M9YWB4f9Z4viqHi/u/LkkbnkrzTrxdTKTyueI1f5kOs5TzXOJMi0uML6&#10;fADl0lw7Z+oXstnah+7MYh0immHkSRelVY7wcgrE9SLl7b/02X7582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KnksDYAAAACwEAAA8AAAAAAAAAAQAgAAAAIgAAAGRycy9kb3ducmV2LnhtbFBL&#10;AQIUABQAAAAIAIdO4kBiVibsvQEAAIQDAAAOAAAAAAAAAAEAIAAAACcBAABkcnMvZTJvRG9jLnht&#10;bFBLBQYAAAAABgAGAFkBAABWBQAAAAA=&#10;">
              <v:fill on="t" focussize="0,0"/>
              <v:stroke on="f"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-401320</wp:posOffset>
              </wp:positionH>
              <wp:positionV relativeFrom="paragraph">
                <wp:posOffset>-154305</wp:posOffset>
              </wp:positionV>
              <wp:extent cx="6029325" cy="352425"/>
              <wp:effectExtent l="0" t="0" r="9525" b="9525"/>
              <wp:wrapNone/>
              <wp:docPr id="13" name="Rectangle 6"/>
              <wp:cNvGraphicFramePr/>
              <a:graphic xmlns:a="http://schemas.openxmlformats.org/drawingml/2006/main">
                <a:graphicData uri="http://schemas.microsoft.com/office/word/2010/wordprocessingShape">
                  <wps:wsp>
                    <wps:cNvSpPr/>
                    <wps:spPr>
                      <a:xfrm>
                        <a:off x="0" y="0"/>
                        <a:ext cx="6029325" cy="352425"/>
                      </a:xfrm>
                      <a:prstGeom prst="rect">
                        <a:avLst/>
                      </a:prstGeom>
                      <a:solidFill>
                        <a:srgbClr val="FFFFFF"/>
                      </a:solidFill>
                      <a:ln w="9525">
                        <a:noFill/>
                        <a:miter/>
                      </a:ln>
                      <a:effectLst/>
                    </wps:spPr>
                    <wps:bodyPr upright="1"/>
                  </wps:wsp>
                </a:graphicData>
              </a:graphic>
            </wp:anchor>
          </w:drawing>
        </mc:Choice>
        <mc:Fallback>
          <w:pict>
            <v:rect id="Rectangle 6" o:spid="_x0000_s1026" o:spt="1" style="position:absolute;left:0pt;margin-left:-31.6pt;margin-top:-12.15pt;height:27.75pt;width:474.75pt;z-index:251659264;mso-width-relative:page;mso-height-relative:page;" fillcolor="#FFFFFF" filled="t" stroked="f" coordsize="21600,21600" o:gfxdata="UEsDBAoAAAAAAIdO4kAAAAAAAAAAAAAAAAAEAAAAZHJzL1BLAwQUAAAACACHTuJAEgSse9cAAAAK&#10;AQAADwAAAGRycy9kb3ducmV2LnhtbE2PwU7DMAyG70i8Q2QkblvSdlSlNN0BaSfgwDaJq9d4bUWT&#10;lCbdyttjTnD7LX/6/bnaLnYQF5pC752GZK1AkGu86V2r4XjYrQoQIaIzOHhHGr4pwLa+vamwNP7q&#10;3umyj63gEhdK1NDFOJZShqYji2HtR3K8O/vJYuRxaqWZ8MrldpCpUrm02Du+0OFIzx01n/vZasB8&#10;Y77eztnr4WXO8bFd1O7hQ2l9f5eoJxCRlvgHw68+q0PNTic/OxPEoGGVZymjHNJNBoKJosg5nDRk&#10;SQqyruT/F+ofUEsDBBQAAAAIAIdO4kAeyLOOugEAAIQDAAAOAAAAZHJzL2Uyb0RvYy54bWytU01v&#10;2zAMvQ/YfxB0X+w4S7AacXpokF2GrVi7H6DItC1AX6CUOPn3o2Qv7bpLD/NBJkXqke9R2t5fjGZn&#10;wKCcbfhyUXIGVrpW2b7hv54Pn75wFqKwrdDOQsOvEPj97uOH7ehrqNzgdAvICMSGevQNH2L0dVEE&#10;OYARYeE8WAp2Do2I5GJftChGQje6qMpyU4wOW49OQgi0u5+CfEbE9wC6rlMS9k6eDNg4oSJoEYlS&#10;GJQPfJe77TqQ8UfXBYhMN5yYxrxSEbKPaS12W1H3KPyg5NyCeE8LbzgZoSwVvUHtRRTshOofKKMk&#10;uuC6uJDOFBORrAixWJZvtHkahIfMhaQO/iZ6+H+w8vv5EZlq6SasOLPC0MR/kmrC9hrYJukz+lBT&#10;2pN/xNkLZCaylw5N+hMNdsmaXm+awiUySZubsrpbVWvOJMVW6+oz2QRTvJz2GOJXcIYlo+FI1bOU&#10;4vwtxCn1T0oqFpxW7UFpnR3sjw8a2VnQfA/5m9H/StOWjQ2/W1PtdMq6dJ6gRW1UhESL+tE2bUC+&#10;NHPlRH0im6yja68k1smj6gfqdJlLpQgNJ0PMFylN/7VP9uvHs/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gSse9cAAAAKAQAADwAAAAAAAAABACAAAAAiAAAAZHJzL2Rvd25yZXYueG1sUEsBAhQA&#10;FAAAAAgAh07iQB7Is466AQAAhAMAAA4AAAAAAAAAAQAgAAAAJgEAAGRycy9lMm9Eb2MueG1sUEsF&#10;BgAAAAAGAAYAWQEAAFIFAAAAAA==&#10;">
              <v:fill on="t" focussize="0,0"/>
              <v:stroke on="f" joinstyle="miter"/>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bidi/>
      <w:ind w:right="840" w:rightChars="400"/>
    </w:pPr>
    <w:r>
      <mc:AlternateContent>
        <mc:Choice Requires="wps">
          <w:drawing>
            <wp:anchor distT="0" distB="0" distL="114300" distR="114300" simplePos="0" relativeHeight="251660288" behindDoc="0" locked="0" layoutInCell="1" allowOverlap="1">
              <wp:simplePos x="0" y="0"/>
              <wp:positionH relativeFrom="column">
                <wp:posOffset>-838835</wp:posOffset>
              </wp:positionH>
              <wp:positionV relativeFrom="paragraph">
                <wp:posOffset>-303530</wp:posOffset>
              </wp:positionV>
              <wp:extent cx="6562725" cy="676275"/>
              <wp:effectExtent l="0" t="0" r="9525" b="9525"/>
              <wp:wrapNone/>
              <wp:docPr id="9" name="Rectangle 2"/>
              <wp:cNvGraphicFramePr/>
              <a:graphic xmlns:a="http://schemas.openxmlformats.org/drawingml/2006/main">
                <a:graphicData uri="http://schemas.microsoft.com/office/word/2010/wordprocessingShape">
                  <wps:wsp>
                    <wps:cNvSpPr/>
                    <wps:spPr>
                      <a:xfrm>
                        <a:off x="0" y="0"/>
                        <a:ext cx="6562725" cy="676275"/>
                      </a:xfrm>
                      <a:prstGeom prst="rect">
                        <a:avLst/>
                      </a:prstGeom>
                      <a:solidFill>
                        <a:srgbClr val="FFFFFF"/>
                      </a:solidFill>
                      <a:ln w="9525">
                        <a:noFill/>
                        <a:miter/>
                      </a:ln>
                      <a:effectLst/>
                    </wps:spPr>
                    <wps:bodyPr upright="1"/>
                  </wps:wsp>
                </a:graphicData>
              </a:graphic>
            </wp:anchor>
          </w:drawing>
        </mc:Choice>
        <mc:Fallback>
          <w:pict>
            <v:rect id="Rectangle 2" o:spid="_x0000_s1026" o:spt="1" style="position:absolute;left:0pt;margin-left:-66.05pt;margin-top:-23.9pt;height:53.25pt;width:516.75pt;z-index:251660288;mso-width-relative:page;mso-height-relative:page;" fillcolor="#FFFFFF" filled="t" stroked="f" coordsize="21600,21600" o:gfxdata="UEsDBAoAAAAAAIdO4kAAAAAAAAAAAAAAAAAEAAAAZHJzL1BLAwQUAAAACACHTuJAa1HaHtkAAAAL&#10;AQAADwAAAGRycy9kb3ducmV2LnhtbE2PwU7DMAyG70i8Q2QkblvSreu20nQHpJ2AAxsSV6/x2oom&#10;KU26lbfHnNjNlj/9/v5iN9lOXGgIrXcakrkCQa7ypnW1ho/jfrYBESI6g513pOGHAuzK+7sCc+Ov&#10;7p0uh1gLDnEhRw1NjH0uZagashjmvifHt7MfLEZeh1qaAa8cbju5UCqTFlvHHxrs6bmh6uswWg2Y&#10;peb77bx8Pb6MGW7rSe1Xn0rrx4dEPYGINMV/GP70WR1Kdjr50ZkgOg2zZLlImOUpXXMJRrYqSUGc&#10;NKw2a5BlIW87lL9QSwMEFAAAAAgAh07iQC/T35i3AQAAgwMAAA4AAABkcnMvZTJvRG9jLnhtbK1T&#10;TW/bMAy9D+h/EHRvnBhIuhlxeliQXYatWLcfoMiULUBfoJQ4+fejZC9ru0sP80EmReqR71HaPl6s&#10;YWfAqL1r+Wqx5Ayc9J12fct//Tzcf+QsJuE6YbyDll8h8sfd3YftGBqo/eBNB8gIxMVmDC0fUgpN&#10;VUU5gBVx4QM4CiqPViRysa86FCOhW1PVy+WmGj12Ab2EGGl3PwX5jIjvAfRKaQl7L08WXJpQEYxI&#10;RCkOOkS+K90qBTJ9VypCYqblxDSVlYqQfcxrtduKpkcRBi3nFsR7WnjDyQrtqOgNai+SYCfU/0BZ&#10;LdFHr9JCeltNRIoixGK1fKPN8yACFC4kdQw30eP/g5Xfzk/IdNfyT5w5YWngP0g04XoDrM7yjCE2&#10;lPUcnnD2IpmZ60WhzX9iwS5F0utNUrgkJmlzs97UD/WaM0mxzQM56wxa/T0dMKYv4C3LRsuRqhcl&#10;xflrTFPqn5RcLHqju4M2pjjYHz8bZGdB4z2Ub0Z/lWYcG4ngmvrIp5zP5wlaNFYnyLSoH+PyBpQ7&#10;M1fO1Cey2Tr67kpanQLqfqBOV6VUjtBsCsR8j/LwX/pkv3w7u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rUdoe2QAAAAsBAAAPAAAAAAAAAAEAIAAAACIAAABkcnMvZG93bnJldi54bWxQSwECFAAU&#10;AAAACACHTuJAL9PfmLcBAACDAwAADgAAAAAAAAABACAAAAAoAQAAZHJzL2Uyb0RvYy54bWxQSwUG&#10;AAAAAAYABgBZAQAAUQUAAAAA&#10;">
              <v:fill on="t" focussize="0,0"/>
              <v:stroke on="f"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2956ED"/>
    <w:multiLevelType w:val="multilevel"/>
    <w:tmpl w:val="422956ED"/>
    <w:lvl w:ilvl="0" w:tentative="0">
      <w:start w:val="1"/>
      <w:numFmt w:val="bullet"/>
      <w:lvlText w:val="_"/>
      <w:lvlJc w:val="left"/>
      <w:pPr>
        <w:tabs>
          <w:tab w:val="left" w:pos="780"/>
        </w:tabs>
        <w:ind w:left="780" w:hanging="420"/>
      </w:pPr>
      <w:rPr>
        <w:rFonts w:hint="default" w:ascii="Palatino Linotype" w:hAnsi="Palatino Linotype"/>
        <w:sz w:val="2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454DD82E"/>
    <w:multiLevelType w:val="singleLevel"/>
    <w:tmpl w:val="454DD82E"/>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3D"/>
    <w:rsid w:val="002733C4"/>
    <w:rsid w:val="00347A5F"/>
    <w:rsid w:val="00427DA2"/>
    <w:rsid w:val="004B483D"/>
    <w:rsid w:val="006F7178"/>
    <w:rsid w:val="007B68B9"/>
    <w:rsid w:val="00821727"/>
    <w:rsid w:val="00A628C7"/>
    <w:rsid w:val="00B545A7"/>
    <w:rsid w:val="00D056E5"/>
    <w:rsid w:val="00D15FD7"/>
    <w:rsid w:val="00D21E1C"/>
    <w:rsid w:val="00DD79C4"/>
    <w:rsid w:val="00EB7374"/>
    <w:rsid w:val="00F6060F"/>
    <w:rsid w:val="00FE0E7A"/>
    <w:rsid w:val="01331E45"/>
    <w:rsid w:val="04D86B85"/>
    <w:rsid w:val="069F1108"/>
    <w:rsid w:val="09A6610E"/>
    <w:rsid w:val="09C05201"/>
    <w:rsid w:val="0B56708B"/>
    <w:rsid w:val="0C7C0E23"/>
    <w:rsid w:val="0F553801"/>
    <w:rsid w:val="105000F8"/>
    <w:rsid w:val="11413EF1"/>
    <w:rsid w:val="12CD1BFF"/>
    <w:rsid w:val="17F80E55"/>
    <w:rsid w:val="184123F5"/>
    <w:rsid w:val="1B2564FA"/>
    <w:rsid w:val="1C7625D7"/>
    <w:rsid w:val="1DC64EF1"/>
    <w:rsid w:val="209A1C7D"/>
    <w:rsid w:val="21E428DD"/>
    <w:rsid w:val="227524EF"/>
    <w:rsid w:val="24DA7F00"/>
    <w:rsid w:val="25CD7544"/>
    <w:rsid w:val="298B645C"/>
    <w:rsid w:val="2AA11D08"/>
    <w:rsid w:val="2D612088"/>
    <w:rsid w:val="2F24682D"/>
    <w:rsid w:val="307820FC"/>
    <w:rsid w:val="3189247C"/>
    <w:rsid w:val="31E468C0"/>
    <w:rsid w:val="34CE0818"/>
    <w:rsid w:val="36200539"/>
    <w:rsid w:val="36AE6896"/>
    <w:rsid w:val="36D0311B"/>
    <w:rsid w:val="384F5916"/>
    <w:rsid w:val="3BDC1717"/>
    <w:rsid w:val="3EF57058"/>
    <w:rsid w:val="3F4C41CF"/>
    <w:rsid w:val="411E1D16"/>
    <w:rsid w:val="4576741A"/>
    <w:rsid w:val="47F43D91"/>
    <w:rsid w:val="49451AB7"/>
    <w:rsid w:val="4EA34877"/>
    <w:rsid w:val="515C3FAB"/>
    <w:rsid w:val="52A9707A"/>
    <w:rsid w:val="53927D4F"/>
    <w:rsid w:val="54D070A6"/>
    <w:rsid w:val="54DF6215"/>
    <w:rsid w:val="570F49B8"/>
    <w:rsid w:val="585A2C46"/>
    <w:rsid w:val="59272D27"/>
    <w:rsid w:val="5B0054B0"/>
    <w:rsid w:val="5DD27029"/>
    <w:rsid w:val="5F737F8F"/>
    <w:rsid w:val="60440473"/>
    <w:rsid w:val="60F83819"/>
    <w:rsid w:val="63C9195C"/>
    <w:rsid w:val="658B4745"/>
    <w:rsid w:val="66A4148F"/>
    <w:rsid w:val="67BE17B1"/>
    <w:rsid w:val="6A5D4EA5"/>
    <w:rsid w:val="6AC15C9A"/>
    <w:rsid w:val="6CA12D2D"/>
    <w:rsid w:val="6D6D1AD4"/>
    <w:rsid w:val="6FF6506D"/>
    <w:rsid w:val="70C15810"/>
    <w:rsid w:val="76F411C3"/>
    <w:rsid w:val="7CCA55C8"/>
    <w:rsid w:val="7D7E5D73"/>
    <w:rsid w:val="7F873E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2</Pages>
  <Words>114</Words>
  <Characters>654</Characters>
  <Lines>5</Lines>
  <Paragraphs>1</Paragraphs>
  <TotalTime>1</TotalTime>
  <ScaleCrop>false</ScaleCrop>
  <LinksUpToDate>false</LinksUpToDate>
  <CharactersWithSpaces>767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杜建婷</dc:creator>
  <cp:lastModifiedBy>时代华商渠道部李嘉敏</cp:lastModifiedBy>
  <dcterms:modified xsi:type="dcterms:W3CDTF">2021-05-12T08:28:52Z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F4553D00793940528158A27182E51204</vt:lpwstr>
  </property>
</Properties>
</file>