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59" w:beforeLines="50" w:after="159" w:afterLines="50" w:line="480" w:lineRule="exact"/>
        <w:jc w:val="center"/>
        <w:rPr>
          <w:rFonts w:hint="default" w:ascii="Times New Roman" w:hAnsi="Times New Roman" w:eastAsia="微软雅黑" w:cs="Times New Roman"/>
          <w:b/>
          <w:bCs/>
          <w:color w:val="0000FF"/>
          <w:sz w:val="44"/>
          <w:szCs w:val="44"/>
        </w:rPr>
      </w:pPr>
      <w:r>
        <w:rPr>
          <w:rFonts w:hint="default" w:ascii="Times New Roman" w:hAnsi="Times New Roman" w:eastAsia="微软雅黑" w:cs="Times New Roman"/>
          <w:b/>
          <w:bCs/>
          <w:color w:val="0000FF"/>
          <w:sz w:val="44"/>
          <w:szCs w:val="44"/>
        </w:rPr>
        <w:t>危险化学品的安全管理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微软雅黑" w:cs="Times New Roman"/>
          <w:b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hint="default" w:ascii="Times New Roman" w:hAnsi="Times New Roman" w:eastAsia="微软雅黑" w:cs="Times New Roman"/>
          <w:b/>
          <w:szCs w:val="21"/>
        </w:rPr>
        <w:t>2021年</w:t>
      </w:r>
      <w:bookmarkStart w:id="0" w:name="_GoBack"/>
      <w:r>
        <w:rPr>
          <w:rFonts w:hint="default" w:ascii="Times New Roman" w:hAnsi="Times New Roman" w:eastAsia="微软雅黑" w:cs="Times New Roman"/>
          <w:b/>
          <w:szCs w:val="21"/>
          <w:lang w:val="en-US" w:eastAsia="zh-CN"/>
        </w:rPr>
        <w:t>7</w:t>
      </w:r>
      <w:r>
        <w:rPr>
          <w:rFonts w:hint="default" w:ascii="Times New Roman" w:hAnsi="Times New Roman" w:eastAsia="微软雅黑" w:cs="Times New Roman"/>
          <w:b/>
          <w:szCs w:val="21"/>
        </w:rPr>
        <w:t>月</w:t>
      </w:r>
      <w:r>
        <w:rPr>
          <w:rFonts w:hint="default" w:ascii="Times New Roman" w:hAnsi="Times New Roman" w:eastAsia="微软雅黑" w:cs="Times New Roman"/>
          <w:b/>
          <w:szCs w:val="21"/>
          <w:lang w:val="en-US" w:eastAsia="zh-CN"/>
        </w:rPr>
        <w:t>28~29</w:t>
      </w:r>
      <w:r>
        <w:rPr>
          <w:rFonts w:hint="default" w:ascii="Times New Roman" w:hAnsi="Times New Roman" w:eastAsia="微软雅黑" w:cs="Times New Roman"/>
          <w:b/>
          <w:szCs w:val="21"/>
        </w:rPr>
        <w:t>日（星期</w:t>
      </w:r>
      <w:r>
        <w:rPr>
          <w:rFonts w:hint="default" w:ascii="Times New Roman" w:hAnsi="Times New Roman" w:eastAsia="微软雅黑" w:cs="Times New Roman"/>
          <w:b/>
          <w:szCs w:val="21"/>
          <w:lang w:eastAsia="zh-CN"/>
        </w:rPr>
        <w:t>三</w:t>
      </w:r>
      <w:r>
        <w:rPr>
          <w:rFonts w:hint="default" w:ascii="Times New Roman" w:hAnsi="Times New Roman" w:eastAsia="微软雅黑" w:cs="Times New Roman"/>
          <w:b/>
          <w:szCs w:val="21"/>
          <w:lang w:val="en-US" w:eastAsia="zh-CN"/>
        </w:rPr>
        <w:t>~星期四</w:t>
      </w:r>
      <w:r>
        <w:rPr>
          <w:rFonts w:hint="default" w:ascii="Times New Roman" w:hAnsi="Times New Roman" w:eastAsia="微软雅黑" w:cs="Times New Roman"/>
          <w:b/>
          <w:szCs w:val="21"/>
        </w:rPr>
        <w:t>）/上 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微软雅黑" w:cs="Times New Roman"/>
          <w:b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hint="default" w:ascii="Times New Roman" w:hAnsi="Times New Roman" w:eastAsia="微软雅黑" w:cs="Times New Roman"/>
          <w:b/>
          <w:szCs w:val="21"/>
        </w:rPr>
        <w:t>￥</w:t>
      </w:r>
      <w:r>
        <w:rPr>
          <w:rFonts w:hint="default" w:ascii="Times New Roman" w:hAnsi="Times New Roman" w:eastAsia="微软雅黑" w:cs="Times New Roman"/>
          <w:b/>
          <w:szCs w:val="21"/>
          <w:lang w:val="en-US" w:eastAsia="zh-CN"/>
        </w:rPr>
        <w:t>3800</w:t>
      </w:r>
      <w:r>
        <w:rPr>
          <w:rFonts w:hint="default" w:ascii="Times New Roman" w:hAnsi="Times New Roman" w:eastAsia="微软雅黑" w:cs="Times New Roman"/>
          <w:b/>
          <w:szCs w:val="21"/>
        </w:rPr>
        <w:t>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default" w:ascii="Times New Roman" w:hAnsi="Times New Roman" w:eastAsia="微软雅黑" w:cs="Times New Roman"/>
          <w:b/>
          <w:i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</w:rPr>
        <w:t>不包含学员往返培训场地的交通费用、住宿费用，早餐及晚餐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420" w:firstLineChars="200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在课程过程中包含三种方式：讲师讲授、分组讨论、角色扮演/辅导是课程的主要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420" w:firstLineChars="200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282575</wp:posOffset>
            </wp:positionV>
            <wp:extent cx="2731770" cy="1537970"/>
            <wp:effectExtent l="0" t="0" r="6350" b="12700"/>
            <wp:wrapNone/>
            <wp:docPr id="3" name="Picture 1" descr="http://www.8weapon.com/images/cp_xs_01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http://www.8weapon.com/images/cp_xs_01_0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</w:t>
      </w: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背景</w:t>
      </w: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420" w:firstLineChars="200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由于其危险性高，其危险性往往又不易识别，常常是潜在的、突变的、甚至是瞬间的，所以发生事故的可能性很大，发生的事故往往带有灾难性。所以危险化学品安全管理显得尤为重要。本课程是为所有涉及危险化学品生产、运输、储存和使用的企业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学员</w:t>
      </w: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367" w:firstLineChars="175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在工作环境中接触到化学品的所有人员，包括EHS管理人员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367" w:firstLineChars="175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使学员了解工作环境内危险化学品的危害性，学会使用化学品安全技术说明书MSDS，了解化学品使用、储存、运输、处置过程的安全。掌握如何使用个人防护用品，安全规程及基本安全防护措施，事故应急等，帮助员工提高安全意识及危险品的管理水平，改善作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iCs/>
          <w:sz w:val="24"/>
        </w:rPr>
      </w:pPr>
      <w:r>
        <w:rPr>
          <w:rFonts w:hint="default" w:ascii="Times New Roman" w:hAnsi="Times New Roman" w:eastAsia="微软雅黑" w:cs="Times New Roman"/>
          <w:b/>
          <w:iCs/>
          <w:sz w:val="24"/>
        </w:rPr>
        <w:t>第一讲：危险化学品鉴定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化学品的定义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危险化学品的定义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单物质的危险性鉴定原则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混合物的危险性鉴定原则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危险化学品名录（2015年版版）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编制化学品清单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全球化学品统一分类和标签制度（GHS）简介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GHS危险性公示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GHS安全标签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安全技术说明书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国际化学品安全卡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认识危险品四色图标（红～可燃性、黄～反应性、蓝～健康危害性及白～特殊危害性）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案例说明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iCs/>
          <w:sz w:val="24"/>
        </w:rPr>
      </w:pPr>
      <w:r>
        <w:rPr>
          <w:rFonts w:hint="default" w:ascii="Times New Roman" w:hAnsi="Times New Roman" w:eastAsia="微软雅黑" w:cs="Times New Roman"/>
          <w:b/>
          <w:iCs/>
          <w:sz w:val="24"/>
        </w:rPr>
        <w:t>第二讲：相关法规介绍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危险化学品安全管理条例（国务院令 第344号）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易制毒化学品管理条例（国务院令 第445号）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易制爆化学品目录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常用化学危险品贮存通则（GB 15603-1995）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废弃危险化学品污染环境防治办法(总局令 第27号)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易燃易爆性、腐蚀性、毒害性商品养护技术条件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iCs/>
          <w:sz w:val="24"/>
        </w:rPr>
      </w:pPr>
      <w:r>
        <w:rPr>
          <w:rFonts w:hint="default" w:ascii="Times New Roman" w:hAnsi="Times New Roman" w:eastAsia="微软雅黑" w:cs="Times New Roman"/>
          <w:b/>
          <w:iCs/>
          <w:sz w:val="24"/>
        </w:rPr>
        <w:t>第三讲：危险化学品安全管理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危险化学品管理的总体原则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危险化学品生产、储存和使用单位的安全、卫生“三同时”要求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危险化学品许可证管理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危险化学品的采购管理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危险化学品的运输管理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危险化学品的验收管理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危险化学品的储存管理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危险化学品的领用管理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危险化学品的使用管理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个人防护品（PPE）管理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危险化学品废弃管理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分组研讨～危险品使用安全要求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微软雅黑" w:cs="Times New Roman"/>
          <w:b/>
          <w:iCs/>
          <w:sz w:val="24"/>
        </w:rPr>
      </w:pPr>
      <w:r>
        <w:rPr>
          <w:rFonts w:hint="default" w:ascii="Times New Roman" w:hAnsi="Times New Roman" w:eastAsia="微软雅黑" w:cs="Times New Roman"/>
          <w:b/>
          <w:iCs/>
          <w:sz w:val="24"/>
        </w:rPr>
        <w:t>第四讲：应急预案及演练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危险品事故类型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应急准备物资适宜性与完好性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演练要求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图示案例分享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Style w:val="7"/>
          <w:rFonts w:hint="default" w:ascii="Times New Roman" w:hAnsi="Times New Roman" w:eastAsia="微软雅黑" w:cs="Times New Roman"/>
          <w:b/>
          <w:i w:val="0"/>
          <w:iCs w:val="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Style w:val="7"/>
          <w:rFonts w:hint="default" w:ascii="Times New Roman" w:hAnsi="Times New Roman" w:eastAsia="微软雅黑" w:cs="Times New Roman"/>
          <w:b/>
          <w:i w:val="0"/>
          <w:iCs w:val="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周老师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right="0" w:hanging="178" w:hangingChars="74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授课风格：  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shd w:val="clear" w:color="auto" w:fill="auto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420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具有近二十年讲师经历的周老师的授课：案例丰富、课程生动、幽默，讲解深入浅出。对参训者具有极大的吸引力、感染力和意想不到的后续效果，深受学员欢迎。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shd w:val="clear" w:color="auto" w:fill="auto"/>
        </w:rPr>
        <w:t>培训专长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shd w:val="clear" w:color="auto" w:fill="auto"/>
          <w:lang w:eastAsia="zh-CN"/>
        </w:rPr>
        <w:t>：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shd w:val="clear" w:color="auto" w:fill="auto"/>
        </w:rPr>
        <w:t xml:space="preserve">               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QEHS内审员培训系列：</w:t>
      </w:r>
    </w:p>
    <w:p>
      <w:pPr>
        <w:pStyle w:val="8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ISO9001、14001、45001、QC080000体系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企业EHS专业管理系列；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环境因素与危险源辨识及其风险控制技术；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EHS工程师能力提升暨零事故环境、安全与职业健康管理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企业安全管理责任意识提升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EHS法律法规要求与合规性管理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危险化学品安全管理知识；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设备检维修之临时危险作业管理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JSA工作安全分析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leftChars="0" w:right="0" w:hanging="155" w:hangingChars="74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KYT危险预知训练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55" w:right="0" w:hanging="178" w:hangingChars="74"/>
        <w:textAlignment w:val="auto"/>
        <w:outlineLvl w:val="9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授课辅导经历 ：</w:t>
      </w:r>
    </w:p>
    <w:p>
      <w:pPr>
        <w:keepNext w:val="0"/>
        <w:keepLines w:val="0"/>
        <w:pageBreakBefore w:val="0"/>
        <w:widowControl w:val="0"/>
        <w:tabs>
          <w:tab w:val="left" w:pos="318"/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1.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化工类：燕山石化、星湖科技、江山制药、长春化工、博徳化工、建滔化工、确信乐思、雅士利涂料、恒顺达化工、竹本油脂、美克尼化工、罗森化工、湛新树脂、泰柯宗化、贝特利、扬州中化码头、阿朗台橡化学、依工聚合等</w:t>
      </w:r>
    </w:p>
    <w:p>
      <w:pPr>
        <w:keepNext w:val="0"/>
        <w:keepLines w:val="0"/>
        <w:pageBreakBefore w:val="0"/>
        <w:widowControl w:val="0"/>
        <w:tabs>
          <w:tab w:val="left" w:pos="318"/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2.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轻工机械类：首屋尔金属、帝达贝轴承、利欧股份、YKK AP吉田建材、帝安贝金属、诺德传动、大金空调、通鼎光电、永鼎光缆、亨通集团、中航宝胜、灏讯电缆、日立电梯、库卡机器人、彤帆智能等</w:t>
      </w:r>
    </w:p>
    <w:p>
      <w:pPr>
        <w:keepNext w:val="0"/>
        <w:keepLines w:val="0"/>
        <w:pageBreakBefore w:val="0"/>
        <w:widowControl w:val="0"/>
        <w:tabs>
          <w:tab w:val="left" w:pos="318"/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3.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轻工纺织类：新民科技、盛虹科技、恒力集团、米歇尔羊毛、鼎盛丝绸、金伦织造、天迈纺织、国望高科、福华织造、中屹机械、青田制衣、震纶纺织等</w:t>
      </w:r>
    </w:p>
    <w:p>
      <w:pPr>
        <w:keepNext w:val="0"/>
        <w:keepLines w:val="0"/>
        <w:pageBreakBefore w:val="0"/>
        <w:widowControl w:val="0"/>
        <w:tabs>
          <w:tab w:val="left" w:pos="318"/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4.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汽车行业：东风派恩、江淮汽车、南亚汽车、万都底盘、索格菲汽车、索菲玛汽车、安路特汽车、乔治费歇尔、大众联合、博格思众、南京马自达、江锻汽车、道氏汽车、广汽菲亚特、德科斯米尔、马勒中国、麦格纳镜像等</w:t>
      </w:r>
    </w:p>
    <w:p>
      <w:pPr>
        <w:keepNext w:val="0"/>
        <w:keepLines w:val="0"/>
        <w:pageBreakBefore w:val="0"/>
        <w:widowControl w:val="0"/>
        <w:tabs>
          <w:tab w:val="left" w:pos="318"/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5.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电子行业：恩德斯豪斯、罗杰斯科技、NEC东京电子、美国超导、巨腾国际、裕廊科技、航空电子、TT电子、CBC真空电子、爱普生、三菱电机、京东方科技、三星半导体、晶品光电、惠科金渝、欧姆龙电气、金宇阳电子、通富超威（AMD）、时代芯存半导体、时代全芯科技、鸿淋电子、捷普科技、安费诺科技、能讯高能半导体、华为（上海研究中心和苏州研究中心）、五方光电、微密科技等</w:t>
      </w:r>
    </w:p>
    <w:p>
      <w:pPr>
        <w:keepNext w:val="0"/>
        <w:keepLines w:val="0"/>
        <w:pageBreakBefore w:val="0"/>
        <w:widowControl w:val="0"/>
        <w:tabs>
          <w:tab w:val="left" w:pos="318"/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6.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</w:rPr>
        <w:t>其他行业：百特医疗、张家港港务局、中兴高尔夫、南玻玻璃、卡尔玛地板、华东38所、华润集团、韩华新能源、永新玻璃、福伊特、欧普照明、NGK、佳禾食品、苏州创元股份、北美枫情、优谷科技、住理工、岛津仪器、重庆奥特斯等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155" w:right="0" w:hanging="178" w:hangingChars="74"/>
        <w:textAlignment w:val="auto"/>
        <w:outlineLvl w:val="9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微软雅黑"/>
        </w:rPr>
      </w:pPr>
      <w:r>
        <w:rPr>
          <w:rFonts w:eastAsia="微软雅黑"/>
        </w:rPr>
        <w:t>----------------------------------------------------------------------------------------------------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微软雅黑"/>
          <w:sz w:val="44"/>
        </w:rPr>
      </w:pPr>
      <w:r>
        <w:rPr>
          <w:rFonts w:eastAsia="微软雅黑"/>
          <w:b/>
          <w:sz w:val="44"/>
        </w:rPr>
        <w:t xml:space="preserve">      </w:t>
      </w:r>
      <w:r>
        <w:rPr>
          <w:rFonts w:eastAsia="微软雅黑"/>
          <w:b/>
          <w:sz w:val="36"/>
        </w:rPr>
        <w:t>报 名 回 执</w:t>
      </w:r>
      <w:r>
        <w:rPr>
          <w:rFonts w:eastAsia="微软雅黑"/>
          <w:b/>
        </w:rPr>
        <w:t>（请务必于开课前7天回复）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24"/>
        <w:gridCol w:w="1535"/>
        <w:gridCol w:w="2010"/>
        <w:gridCol w:w="1423"/>
        <w:gridCol w:w="142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部门/职位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Tel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Fax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Email/手机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公司地址：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sz w:val="24"/>
        </w:rPr>
        <w:t xml:space="preserve">★缴费方式：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支票 </w:t>
      </w:r>
      <w:r>
        <w:rPr>
          <w:rFonts w:hint="eastAsia" w:eastAsia="微软雅黑"/>
          <w:b/>
          <w:sz w:val="24"/>
        </w:rPr>
        <w:t xml:space="preserve"> 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现场缴费 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汇款（汇款后请将汇款单据传真至本公司）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A2C"/>
    <w:multiLevelType w:val="multilevel"/>
    <w:tmpl w:val="19143A2C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1B59D0"/>
    <w:multiLevelType w:val="singleLevel"/>
    <w:tmpl w:val="551B59D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57707"/>
    <w:rsid w:val="7715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style241"/>
    <w:uiPriority w:val="0"/>
    <w:rPr>
      <w:rFonts w:hint="eastAsia" w:ascii="宋体" w:hAnsi="宋体" w:eastAsia="宋体"/>
      <w:sz w:val="21"/>
      <w:szCs w:val="21"/>
    </w:rPr>
  </w:style>
  <w:style w:type="paragraph" w:customStyle="1" w:styleId="8">
    <w:name w:val="List Paragraph"/>
    <w:basedOn w:val="1"/>
    <w:uiPriority w:val="0"/>
    <w:pPr>
      <w:ind w:firstLine="420" w:firstLineChars="200"/>
    </w:pPr>
  </w:style>
  <w:style w:type="paragraph" w:customStyle="1" w:styleId="9">
    <w:name w:val="Normal_2"/>
    <w:basedOn w:val="1"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http://www.8weapon.com/images/cp_xs_01_05.g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2021-03-03T10:30:00Z</dcterms:created>
  <dc:creator>强思企管婷婷（渠道报单）</dc:creator>
  <cp:lastModifiedBy>强思企管婷婷（渠道报单）</cp:lastModifiedBy>
  <dcterms:modified xsi:type="dcterms:W3CDTF">2021-03-03T10:32:26Z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