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FF"/>
        </w:rPr>
      </w:pPr>
      <w:r>
        <w:rPr>
          <w:rFonts w:hint="eastAsia" w:eastAsia="微软雅黑"/>
          <w:b/>
          <w:color w:val="0000FF"/>
          <w:sz w:val="44"/>
        </w:rPr>
        <w:t>非财务经理的财务管理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000000"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培训时间/地点：</w:t>
      </w:r>
      <w:r>
        <w:rPr>
          <w:rFonts w:eastAsia="微软雅黑"/>
          <w:b/>
          <w:color w:val="000000"/>
          <w:szCs w:val="21"/>
        </w:rPr>
        <w:t>2021年</w:t>
      </w:r>
      <w:bookmarkStart w:id="0" w:name="_GoBack"/>
      <w:r>
        <w:rPr>
          <w:rFonts w:hint="eastAsia" w:eastAsia="微软雅黑"/>
          <w:b/>
          <w:color w:val="000000"/>
          <w:szCs w:val="21"/>
        </w:rPr>
        <w:t>8</w:t>
      </w:r>
      <w:r>
        <w:rPr>
          <w:rFonts w:eastAsia="微软雅黑"/>
          <w:b/>
          <w:color w:val="000000"/>
          <w:szCs w:val="21"/>
        </w:rPr>
        <w:t>月</w:t>
      </w:r>
      <w:r>
        <w:rPr>
          <w:rFonts w:hint="eastAsia" w:eastAsia="微软雅黑"/>
          <w:b/>
          <w:color w:val="000000"/>
          <w:szCs w:val="21"/>
        </w:rPr>
        <w:t>9~10</w:t>
      </w:r>
      <w:r>
        <w:rPr>
          <w:rFonts w:eastAsia="微软雅黑"/>
          <w:b/>
          <w:color w:val="000000"/>
          <w:szCs w:val="21"/>
        </w:rPr>
        <w:t>日（星期一 ~ 星期二）/</w:t>
      </w:r>
      <w:r>
        <w:rPr>
          <w:rFonts w:hint="eastAsia" w:eastAsia="微软雅黑"/>
          <w:b/>
          <w:color w:val="000000"/>
          <w:szCs w:val="21"/>
        </w:rPr>
        <w:t>上  海</w:t>
      </w:r>
    </w:p>
    <w:bookmarkEnd w:id="0"/>
    <w:p>
      <w:pPr>
        <w:spacing w:line="480" w:lineRule="exact"/>
        <w:rPr>
          <w:rFonts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</w:rPr>
        <w:t>45</w:t>
      </w:r>
      <w:r>
        <w:rPr>
          <w:rFonts w:eastAsia="微软雅黑"/>
          <w:b/>
          <w:szCs w:val="21"/>
        </w:rPr>
        <w:t>00/人</w:t>
      </w:r>
    </w:p>
    <w:p>
      <w:pPr>
        <w:numPr>
          <w:ilvl w:val="0"/>
          <w:numId w:val="1"/>
        </w:numPr>
        <w:spacing w:line="480" w:lineRule="exact"/>
        <w:rPr>
          <w:rFonts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numPr>
          <w:ilvl w:val="0"/>
          <w:numId w:val="1"/>
        </w:numPr>
        <w:spacing w:line="480" w:lineRule="exact"/>
        <w:rPr>
          <w:rFonts w:hint="eastAsia" w:eastAsia="微软雅黑"/>
          <w:szCs w:val="22"/>
        </w:rPr>
      </w:pPr>
      <w:r>
        <w:rPr>
          <w:rFonts w:eastAsia="微软雅黑"/>
          <w:szCs w:val="22"/>
        </w:rPr>
        <w:t>不包含学员往返培训场地的交通费用、住宿费用，早餐及晚餐 </w:t>
      </w:r>
    </w:p>
    <w:p>
      <w:pPr>
        <w:spacing w:line="480" w:lineRule="exact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收益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spacing w:line="480" w:lineRule="exact"/>
        <w:textAlignment w:val="baseline"/>
        <w:rPr>
          <w:rFonts w:eastAsia="微软雅黑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财务报表解读</w:t>
      </w:r>
    </w:p>
    <w:p>
      <w:pPr>
        <w:numPr>
          <w:ilvl w:val="0"/>
          <w:numId w:val="2"/>
        </w:numPr>
        <w:spacing w:line="480" w:lineRule="exact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  <w:lang w:val="de-DE"/>
        </w:rPr>
        <w:t>掌握财务报表的阅读技巧，快速捕捉关键财务信息</w:t>
      </w:r>
    </w:p>
    <w:p>
      <w:pPr>
        <w:numPr>
          <w:ilvl w:val="0"/>
          <w:numId w:val="2"/>
        </w:numPr>
        <w:spacing w:line="480" w:lineRule="exact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  <w:lang w:val="de-DE"/>
        </w:rPr>
        <w:t>通过财务分析方法和工具，准确把握企业的经营状况</w:t>
      </w:r>
    </w:p>
    <w:p>
      <w:pPr>
        <w:numPr>
          <w:ilvl w:val="0"/>
          <w:numId w:val="2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hint="eastAsia" w:eastAsia="微软雅黑"/>
          <w:szCs w:val="21"/>
          <w:lang w:val="de-DE"/>
        </w:rPr>
        <w:t>运用财务分析信息，助</w:t>
      </w:r>
      <w:r>
        <w:rPr>
          <w:rFonts w:hint="eastAsia" w:eastAsia="微软雅黑"/>
          <w:szCs w:val="21"/>
        </w:rPr>
        <w:t>力</w:t>
      </w:r>
      <w:r>
        <w:rPr>
          <w:rFonts w:hint="eastAsia" w:eastAsia="微软雅黑"/>
          <w:szCs w:val="21"/>
          <w:lang w:val="de-DE"/>
        </w:rPr>
        <w:t>提升企业的经营管理和决策水平</w:t>
      </w:r>
    </w:p>
    <w:p>
      <w:pPr>
        <w:spacing w:line="480" w:lineRule="exact"/>
        <w:textAlignment w:val="baseline"/>
        <w:rPr>
          <w:rFonts w:eastAsia="微软雅黑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全面预算</w:t>
      </w:r>
    </w:p>
    <w:p>
      <w:pPr>
        <w:numPr>
          <w:ilvl w:val="0"/>
          <w:numId w:val="2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强化企业全面预算理念，建立预算思维框架和操作思路</w:t>
      </w:r>
    </w:p>
    <w:p>
      <w:pPr>
        <w:numPr>
          <w:ilvl w:val="0"/>
          <w:numId w:val="2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掌握全面预算编制方法和技术，建立符合企业的预算体系</w:t>
      </w:r>
    </w:p>
    <w:p>
      <w:pPr>
        <w:numPr>
          <w:ilvl w:val="0"/>
          <w:numId w:val="2"/>
        </w:numPr>
        <w:spacing w:line="480" w:lineRule="exact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接触世界500强跨国企业全面预算的实践经验</w:t>
      </w:r>
    </w:p>
    <w:p>
      <w:pPr>
        <w:spacing w:line="480" w:lineRule="exact"/>
        <w:textAlignment w:val="baseline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textAlignment w:val="baseline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hint="eastAsia" w:eastAsia="微软雅黑"/>
          <w:szCs w:val="21"/>
        </w:rPr>
        <w:t xml:space="preserve">企业非财务管理人员、企业领导人、投资人、债权人   </w:t>
      </w:r>
    </w:p>
    <w:p>
      <w:pPr>
        <w:spacing w:line="480" w:lineRule="exact"/>
        <w:textAlignment w:val="baseline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spacing w:line="480" w:lineRule="exact"/>
        <w:ind w:firstLine="420" w:firstLineChars="200"/>
        <w:rPr>
          <w:rFonts w:hint="eastAsia" w:eastAsia="微软雅黑"/>
          <w:szCs w:val="21"/>
        </w:rPr>
      </w:pPr>
      <w:r>
        <w:rPr>
          <w:rFonts w:eastAsia="微软雅黑"/>
          <w:szCs w:val="21"/>
        </w:rPr>
        <w:t>根据</w:t>
      </w:r>
      <w:r>
        <w:rPr>
          <w:rFonts w:hint="eastAsia" w:eastAsia="微软雅黑"/>
          <w:szCs w:val="21"/>
        </w:rPr>
        <w:t>学员</w:t>
      </w:r>
      <w:r>
        <w:rPr>
          <w:rFonts w:eastAsia="微软雅黑"/>
          <w:szCs w:val="21"/>
        </w:rPr>
        <w:t>的财务基础设计教学语言，教学内容以由浅入深的结构框架结合大量实战信息、知名跨国企业的实操案例，以及与时俱进的财经领域话题。课堂互动性强，促使学员积极思考的同时有充分的实战演练机会。</w:t>
      </w:r>
    </w:p>
    <w:p>
      <w:pPr>
        <w:spacing w:line="480" w:lineRule="exact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spacing w:line="480" w:lineRule="exact"/>
        <w:rPr>
          <w:rFonts w:eastAsia="微软雅黑"/>
          <w:b/>
          <w:bCs/>
          <w:sz w:val="24"/>
          <w:lang w:val="de-DE"/>
        </w:rPr>
      </w:pPr>
      <w:r>
        <w:rPr>
          <w:rFonts w:hint="eastAsia" w:eastAsia="微软雅黑"/>
          <w:b/>
          <w:bCs/>
          <w:sz w:val="24"/>
        </w:rPr>
        <w:t>第一天：</w:t>
      </w:r>
      <w:r>
        <w:rPr>
          <w:rFonts w:eastAsia="微软雅黑"/>
          <w:b/>
          <w:bCs/>
          <w:sz w:val="24"/>
          <w:lang w:val="de-DE"/>
        </w:rPr>
        <w:t>财务报表 -- 破解企业经营的密码本</w:t>
      </w:r>
    </w:p>
    <w:p>
      <w:pPr>
        <w:numPr>
          <w:ilvl w:val="0"/>
          <w:numId w:val="3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用财务语言读懂经营</w:t>
      </w:r>
    </w:p>
    <w:p>
      <w:pPr>
        <w:numPr>
          <w:ilvl w:val="0"/>
          <w:numId w:val="4"/>
        </w:numPr>
        <w:spacing w:line="480" w:lineRule="exact"/>
        <w:ind w:left="840"/>
        <w:rPr>
          <w:rFonts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财务报表的读者</w:t>
      </w:r>
    </w:p>
    <w:p>
      <w:pPr>
        <w:numPr>
          <w:ilvl w:val="0"/>
          <w:numId w:val="4"/>
        </w:numPr>
        <w:spacing w:line="480" w:lineRule="exact"/>
        <w:ind w:left="840"/>
        <w:rPr>
          <w:rFonts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数字揭露的真相</w:t>
      </w:r>
    </w:p>
    <w:p>
      <w:pPr>
        <w:numPr>
          <w:ilvl w:val="0"/>
          <w:numId w:val="4"/>
        </w:numPr>
        <w:spacing w:line="480" w:lineRule="exact"/>
        <w:ind w:left="840"/>
        <w:rPr>
          <w:rFonts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报表不能告诉我们的事</w:t>
      </w:r>
    </w:p>
    <w:p>
      <w:pPr>
        <w:numPr>
          <w:ilvl w:val="0"/>
          <w:numId w:val="5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解读资产负债表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  <w:lang w:val="de-DE"/>
        </w:rPr>
        <w:t>“</w:t>
      </w:r>
      <w:r>
        <w:rPr>
          <w:rFonts w:hint="eastAsia" w:eastAsia="微软雅黑"/>
          <w:szCs w:val="21"/>
        </w:rPr>
        <w:t>静态报表”与“动态报表”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资产负债表结构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不良资产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资产负债表表样</w:t>
      </w:r>
    </w:p>
    <w:p>
      <w:pPr>
        <w:numPr>
          <w:ilvl w:val="0"/>
          <w:numId w:val="6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解读利润表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利润表结构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成本 VS 费用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利润表表样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资产负债表与利润表的关联</w:t>
      </w:r>
    </w:p>
    <w:p>
      <w:pPr>
        <w:numPr>
          <w:ilvl w:val="0"/>
          <w:numId w:val="7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解读现金流量表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权责发生制 VS 收付实现制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现金流量表结构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现金流量表表样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利润和现金流哪个更重要</w:t>
      </w:r>
    </w:p>
    <w:p>
      <w:pPr>
        <w:numPr>
          <w:ilvl w:val="0"/>
          <w:numId w:val="8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透过财务指标看经营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盈利能力的指标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有关“周转”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“杠杆”是把双刃剑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杜邦分析法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偿债能力的指标</w:t>
      </w:r>
    </w:p>
    <w:p>
      <w:pPr>
        <w:numPr>
          <w:ilvl w:val="0"/>
          <w:numId w:val="9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报表信息的人为操纵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人为操纵报表的动机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b/>
          <w:bCs/>
          <w:sz w:val="24"/>
        </w:rPr>
      </w:pPr>
      <w:r>
        <w:rPr>
          <w:rFonts w:hint="eastAsia" w:eastAsia="微软雅黑"/>
          <w:szCs w:val="21"/>
        </w:rPr>
        <w:t>常用的“利润调节器”</w:t>
      </w:r>
    </w:p>
    <w:p>
      <w:pPr>
        <w:spacing w:line="480" w:lineRule="exact"/>
        <w:rPr>
          <w:rFonts w:eastAsia="微软雅黑"/>
          <w:b/>
          <w:bCs/>
          <w:sz w:val="24"/>
          <w:lang w:val="de-DE"/>
        </w:rPr>
      </w:pPr>
      <w:r>
        <w:rPr>
          <w:rFonts w:hint="eastAsia" w:eastAsia="微软雅黑"/>
          <w:b/>
          <w:bCs/>
          <w:sz w:val="24"/>
        </w:rPr>
        <w:t>第二天：</w:t>
      </w:r>
      <w:r>
        <w:rPr>
          <w:rFonts w:eastAsia="微软雅黑"/>
          <w:b/>
          <w:bCs/>
          <w:sz w:val="24"/>
          <w:lang w:val="de-DE"/>
        </w:rPr>
        <w:t>全面预算的逻辑思维和方法</w:t>
      </w:r>
    </w:p>
    <w:p>
      <w:pPr>
        <w:numPr>
          <w:ilvl w:val="0"/>
          <w:numId w:val="10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预算的几大误区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预算反正不准确，不如不做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预算是财务部门的事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小企业不需要预算</w:t>
      </w:r>
    </w:p>
    <w:p>
      <w:pPr>
        <w:numPr>
          <w:ilvl w:val="0"/>
          <w:numId w:val="11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规划、预算、预测的“三位一体”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有关“顶层设计”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静态目标与动态预测</w:t>
      </w:r>
    </w:p>
    <w:p>
      <w:pPr>
        <w:numPr>
          <w:ilvl w:val="0"/>
          <w:numId w:val="12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财务人员在预算中的角色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预算不是“数字处理技术”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预算设计、编制、执行的参与</w:t>
      </w:r>
    </w:p>
    <w:p>
      <w:pPr>
        <w:numPr>
          <w:ilvl w:val="0"/>
          <w:numId w:val="13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世界500强实操案例分享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预算的流程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预算的前提和假设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“自上而下”与“自下而上”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预算编制中的几个问题</w:t>
      </w:r>
    </w:p>
    <w:p>
      <w:pPr>
        <w:numPr>
          <w:ilvl w:val="0"/>
          <w:numId w:val="14"/>
        </w:numPr>
        <w:spacing w:line="480" w:lineRule="exact"/>
        <w:rPr>
          <w:rFonts w:eastAsia="微软雅黑"/>
          <w:szCs w:val="21"/>
          <w:lang w:val="de-DE"/>
        </w:rPr>
      </w:pPr>
      <w:r>
        <w:rPr>
          <w:rFonts w:eastAsia="微软雅黑"/>
          <w:szCs w:val="21"/>
          <w:lang w:val="de-DE"/>
        </w:rPr>
        <w:t>预算的执行与考核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资源分配控制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szCs w:val="21"/>
          <w:lang w:val="de-DE"/>
        </w:rPr>
      </w:pPr>
      <w:r>
        <w:rPr>
          <w:rFonts w:hint="eastAsia" w:eastAsia="微软雅黑"/>
          <w:szCs w:val="21"/>
        </w:rPr>
        <w:t>Review与分析</w:t>
      </w:r>
    </w:p>
    <w:p>
      <w:pPr>
        <w:numPr>
          <w:ilvl w:val="0"/>
          <w:numId w:val="4"/>
        </w:numPr>
        <w:spacing w:line="480" w:lineRule="exact"/>
        <w:ind w:left="840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szCs w:val="21"/>
        </w:rPr>
        <w:t>KPI绩效考核</w:t>
      </w:r>
    </w:p>
    <w:p>
      <w:pPr>
        <w:spacing w:line="480" w:lineRule="exact"/>
        <w:textAlignment w:val="baseline"/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讲师简介： </w:t>
      </w:r>
      <w:r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许老师</w:t>
      </w:r>
    </w:p>
    <w:p>
      <w:pPr>
        <w:numPr>
          <w:ilvl w:val="0"/>
          <w:numId w:val="15"/>
        </w:numPr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中国注册会计师（CPA）</w:t>
      </w:r>
      <w:r>
        <w:rPr>
          <w:rFonts w:eastAsia="微软雅黑"/>
          <w:szCs w:val="21"/>
        </w:rPr>
        <w:t xml:space="preserve"> </w:t>
      </w:r>
    </w:p>
    <w:p>
      <w:pPr>
        <w:numPr>
          <w:ilvl w:val="0"/>
          <w:numId w:val="15"/>
        </w:numPr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二十年企业财务管理及外部审计经验</w:t>
      </w:r>
    </w:p>
    <w:p>
      <w:pPr>
        <w:numPr>
          <w:ilvl w:val="0"/>
          <w:numId w:val="15"/>
        </w:numPr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世界500强财务总监</w:t>
      </w:r>
    </w:p>
    <w:p>
      <w:pPr>
        <w:numPr>
          <w:ilvl w:val="0"/>
          <w:numId w:val="15"/>
        </w:numPr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世界500强海外总部财务控制</w:t>
      </w:r>
    </w:p>
    <w:p>
      <w:pPr>
        <w:spacing w:line="480" w:lineRule="exact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海外工作经历：</w:t>
      </w:r>
    </w:p>
    <w:p>
      <w:pPr>
        <w:numPr>
          <w:ilvl w:val="0"/>
          <w:numId w:val="15"/>
        </w:numPr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于美国，德国，瑞士参与全球项目，以及负责工厂成本系统移植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szCs w:val="21"/>
        </w:rPr>
      </w:pPr>
      <w:r>
        <w:rPr>
          <w:rFonts w:hint="eastAsia" w:eastAsia="微软雅黑"/>
          <w:szCs w:val="21"/>
        </w:rPr>
        <w:t>于瑞士总部负责BU全球财务控制指南的编制，业务控制系统维护</w:t>
      </w:r>
    </w:p>
    <w:p>
      <w:pPr>
        <w:spacing w:line="480" w:lineRule="exact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擅长授课领域：</w:t>
      </w:r>
    </w:p>
    <w:p>
      <w:pPr>
        <w:numPr>
          <w:ilvl w:val="0"/>
          <w:numId w:val="15"/>
        </w:numPr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全面预算设计与管理</w:t>
      </w:r>
    </w:p>
    <w:p>
      <w:pPr>
        <w:numPr>
          <w:ilvl w:val="0"/>
          <w:numId w:val="15"/>
        </w:numPr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财务报表分析与内部报表系统建立</w:t>
      </w:r>
    </w:p>
    <w:p>
      <w:pPr>
        <w:numPr>
          <w:ilvl w:val="0"/>
          <w:numId w:val="15"/>
        </w:numPr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如何读懂财务报表</w:t>
      </w:r>
    </w:p>
    <w:p>
      <w:pPr>
        <w:numPr>
          <w:ilvl w:val="0"/>
          <w:numId w:val="15"/>
        </w:numPr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成本管理与控制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szCs w:val="21"/>
        </w:rPr>
      </w:pPr>
      <w:r>
        <w:rPr>
          <w:rFonts w:hint="eastAsia" w:eastAsia="微软雅黑"/>
          <w:szCs w:val="21"/>
        </w:rPr>
        <w:t>外企工作中的英文运用</w:t>
      </w:r>
    </w:p>
    <w:p>
      <w:pPr>
        <w:spacing w:line="480" w:lineRule="exact"/>
        <w:textAlignment w:val="baseline"/>
        <w:rPr>
          <w:rFonts w:hint="eastAsia" w:eastAsia="微软雅黑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/>
          <w:szCs w:val="24"/>
        </w:rPr>
      </w:pPr>
    </w:p>
    <w:p>
      <w:pPr>
        <w:pStyle w:val="7"/>
        <w:spacing w:line="340" w:lineRule="exact"/>
        <w:jc w:val="center"/>
        <w:rPr>
          <w:rFonts w:eastAsia="微软雅黑"/>
        </w:rPr>
      </w:pPr>
      <w:r>
        <w:rPr>
          <w:rFonts w:eastAsia="微软雅黑"/>
        </w:rPr>
        <w:t>-------------------------------------------------------------------------------------------------------------------</w:t>
      </w:r>
    </w:p>
    <w:p>
      <w:pPr>
        <w:spacing w:line="340" w:lineRule="exact"/>
        <w:jc w:val="center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  </w:t>
      </w:r>
      <w:r>
        <w:rPr>
          <w:rFonts w:eastAsia="微软雅黑"/>
          <w:b/>
          <w:sz w:val="36"/>
        </w:rPr>
        <w:t>报 名 回 执</w:t>
      </w:r>
      <w:r>
        <w:rPr>
          <w:rFonts w:eastAsia="微软雅黑"/>
          <w:b/>
        </w:rPr>
        <w:t>（请务必于开课前7天回复）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37"/>
        <w:gridCol w:w="1562"/>
        <w:gridCol w:w="2047"/>
        <w:gridCol w:w="1449"/>
        <w:gridCol w:w="1449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3746" w:type="dxa"/>
            <w:gridSpan w:val="3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96" w:type="dxa"/>
            <w:gridSpan w:val="2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>
      <w:pPr>
        <w:shd w:val="solid" w:color="FFFFFF" w:fill="auto"/>
        <w:autoSpaceDN w:val="0"/>
        <w:spacing w:line="340" w:lineRule="exact"/>
        <w:jc w:val="center"/>
        <w:textAlignment w:val="baseline"/>
        <w:rPr>
          <w:rFonts w:eastAsia="微软雅黑"/>
        </w:rPr>
      </w:pPr>
      <w:r>
        <w:rPr>
          <w:rFonts w:eastAsia="微软雅黑"/>
          <w:b/>
          <w:sz w:val="24"/>
        </w:rPr>
        <w:t xml:space="preserve">★缴费方式：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支票</w:t>
      </w:r>
      <w:r>
        <w:rPr>
          <w:rFonts w:eastAsia="微软雅黑"/>
          <w:b/>
          <w:sz w:val="24"/>
        </w:rPr>
        <w:tab/>
      </w:r>
      <w:r>
        <w:rPr>
          <w:rFonts w:eastAsia="微软雅黑"/>
          <w:b/>
          <w:sz w:val="24"/>
        </w:rPr>
        <w:t xml:space="preserve">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现场缴费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汇款（汇款后请将汇款单据传真至本公司）</w:t>
      </w:r>
    </w:p>
    <w:p/>
    <w:sectPr>
      <w:footerReference r:id="rId3" w:type="default"/>
      <w:pgSz w:w="11906" w:h="16838"/>
      <w:pgMar w:top="1213" w:right="1349" w:bottom="1213" w:left="134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A3uL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jA3u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1D115B"/>
    <w:multiLevelType w:val="multilevel"/>
    <w:tmpl w:val="B61D115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CF5ED9C8"/>
    <w:multiLevelType w:val="multilevel"/>
    <w:tmpl w:val="CF5ED9C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DC92C357"/>
    <w:multiLevelType w:val="multilevel"/>
    <w:tmpl w:val="DC92C35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DD6C144B"/>
    <w:multiLevelType w:val="multilevel"/>
    <w:tmpl w:val="DD6C144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EDF172AE"/>
    <w:multiLevelType w:val="multilevel"/>
    <w:tmpl w:val="EDF172A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FA08962A"/>
    <w:multiLevelType w:val="multilevel"/>
    <w:tmpl w:val="FA0896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04C93F21"/>
    <w:multiLevelType w:val="multilevel"/>
    <w:tmpl w:val="04C93F2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067A917E"/>
    <w:multiLevelType w:val="multilevel"/>
    <w:tmpl w:val="067A917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06F47E93"/>
    <w:multiLevelType w:val="multilevel"/>
    <w:tmpl w:val="06F47E9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151040C0"/>
    <w:multiLevelType w:val="multilevel"/>
    <w:tmpl w:val="151040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3473B1EE"/>
    <w:multiLevelType w:val="multilevel"/>
    <w:tmpl w:val="3473B1E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4447A429"/>
    <w:multiLevelType w:val="multilevel"/>
    <w:tmpl w:val="4447A42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48937BAE"/>
    <w:multiLevelType w:val="multilevel"/>
    <w:tmpl w:val="48937BA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>
    <w:nsid w:val="5A9F2FA1"/>
    <w:multiLevelType w:val="singleLevel"/>
    <w:tmpl w:val="5A9F2FA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751AA"/>
    <w:rsid w:val="25B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Normal_2"/>
    <w:basedOn w:val="1"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2021-03-11T09:35:00Z</dcterms:created>
  <dc:creator>强思企管婷婷（渠道报单）</dc:creator>
  <cp:lastModifiedBy>强思企管婷婷（渠道报单）</cp:lastModifiedBy>
  <dcterms:modified xsi:type="dcterms:W3CDTF">2021-03-11T09:48:54Z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