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微软雅黑"/>
          <w:b/>
          <w:color w:val="0000FF"/>
          <w:sz w:val="44"/>
        </w:rPr>
      </w:pPr>
      <w:r>
        <w:rPr>
          <w:rFonts w:hint="eastAsia" w:eastAsia="微软雅黑"/>
          <w:b/>
          <w:color w:val="0000FF"/>
          <w:sz w:val="44"/>
        </w:rPr>
        <w:t>供应链与采购的风险管理</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培训时间/地点：</w:t>
      </w:r>
      <w:r>
        <w:rPr>
          <w:rFonts w:eastAsia="微软雅黑"/>
          <w:b/>
          <w:color w:val="000000"/>
          <w:szCs w:val="21"/>
        </w:rPr>
        <w:t>2021年</w:t>
      </w:r>
      <w:bookmarkStart w:id="0" w:name="_GoBack"/>
      <w:r>
        <w:rPr>
          <w:rFonts w:hint="eastAsia" w:eastAsia="微软雅黑"/>
          <w:b/>
          <w:color w:val="000000"/>
          <w:szCs w:val="21"/>
        </w:rPr>
        <w:t>8</w:t>
      </w:r>
      <w:r>
        <w:rPr>
          <w:rFonts w:eastAsia="微软雅黑"/>
          <w:b/>
          <w:color w:val="000000"/>
          <w:szCs w:val="21"/>
        </w:rPr>
        <w:t>月</w:t>
      </w:r>
      <w:r>
        <w:rPr>
          <w:rFonts w:hint="eastAsia" w:eastAsia="微软雅黑"/>
          <w:b/>
          <w:color w:val="000000"/>
          <w:szCs w:val="21"/>
        </w:rPr>
        <w:t>12~13</w:t>
      </w:r>
      <w:r>
        <w:rPr>
          <w:rFonts w:eastAsia="微软雅黑"/>
          <w:b/>
          <w:color w:val="000000"/>
          <w:szCs w:val="21"/>
        </w:rPr>
        <w:t>日（星期</w:t>
      </w:r>
      <w:r>
        <w:rPr>
          <w:rFonts w:hint="eastAsia" w:eastAsia="微软雅黑"/>
          <w:b/>
          <w:color w:val="000000"/>
          <w:szCs w:val="21"/>
        </w:rPr>
        <w:t>四</w:t>
      </w:r>
      <w:r>
        <w:rPr>
          <w:rFonts w:eastAsia="微软雅黑"/>
          <w:b/>
          <w:color w:val="000000"/>
          <w:szCs w:val="21"/>
        </w:rPr>
        <w:t xml:space="preserve"> ~ 星期</w:t>
      </w:r>
      <w:r>
        <w:rPr>
          <w:rFonts w:hint="eastAsia" w:eastAsia="微软雅黑"/>
          <w:b/>
          <w:color w:val="000000"/>
          <w:szCs w:val="21"/>
        </w:rPr>
        <w:t>五</w:t>
      </w:r>
      <w:r>
        <w:rPr>
          <w:rFonts w:eastAsia="微软雅黑"/>
          <w:b/>
          <w:color w:val="000000"/>
          <w:szCs w:val="21"/>
        </w:rPr>
        <w:t>）/</w:t>
      </w:r>
      <w:r>
        <w:rPr>
          <w:rFonts w:hint="eastAsia" w:eastAsia="微软雅黑"/>
          <w:b/>
          <w:color w:val="000000"/>
          <w:szCs w:val="21"/>
        </w:rPr>
        <w:t>上  海</w:t>
      </w:r>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rPr>
        <w:t>520</w:t>
      </w:r>
      <w:r>
        <w:rPr>
          <w:rFonts w:eastAsia="微软雅黑"/>
          <w:b/>
          <w:szCs w:val="21"/>
        </w:rPr>
        <w:t>0/人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eastAsia="微软雅黑"/>
        </w:rPr>
      </w:pPr>
      <w:r>
        <w:rPr>
          <w:rFonts w:eastAsia="微软雅黑"/>
        </w:rPr>
        <w:t>含授课费、证书费、资料费、午餐费、茶点费、会务费、税费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eastAsia="微软雅黑"/>
          <w:szCs w:val="22"/>
        </w:rPr>
      </w:pPr>
      <w:r>
        <w:rPr>
          <w:rFonts w:eastAsia="微软雅黑"/>
          <w:szCs w:val="22"/>
        </w:rPr>
        <w:t>不包含学员往返培训场地的交通费用、住宿费用，早餐及晚餐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课程背景：</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201"/>
        <w:textAlignment w:val="auto"/>
        <w:rPr>
          <w:rFonts w:eastAsia="微软雅黑"/>
        </w:rPr>
      </w:pPr>
      <w:r>
        <w:rPr>
          <w:rFonts w:eastAsia="微软雅黑"/>
        </w:rPr>
        <w:t>进入21世纪，供应链管理技术随着信息通讯技术的飞速成长，采购管理越来越追求低成本与更快的速度，这无疑能为企业提升市场竞争能力，创造更好的价值。采购管理团队为了应对这块压力，通常采用了一些新的举措和方法，但是新的方法在提升供应链效率的同时，也带来了无法预料的问题，增加了供应安全的脆弱性。为了既能应对脆弱性，又能提升效率而采取的措施，又因为认知不足与不灵活往往将管理能力僵化。可能一个外部政策变化，或者内部（如欺诈，系统崩溃）或外部的一个小事件，都能导致供应的崩溃，从一些公共事件就可以看出—当下，新冠肺炎爆发，不仅对中国制造形成了强烈冲击，而且因为疫情蔓延，对于全球供应链管理出形成了巨大的风险冲击，企业将面临局部的供应中断和成本上升。再往前看，中美贸易问题，中兴危机，华为面临美国制裁导致的大范围供应中断。在2017年9月，因为供应商环保不达标被勒令停产，将导致供应中断三个月，从而引发汽车制造业3000亿的产值损失，促成了舍弗勒致上海市政府的公开信，震动了整个中国制造业。2015年8月12日的天津港爆炸事件，导致了直接经济损失68.66人民亿元，保险损失15亿美元，灾难事件对于全球的电子，医疗等行业的供应链造成了供应中断，延迟交付，物流成本上升等巨大影响，这些巨大的间接缺失无法估计。这意味着复杂的供应安全需要谨慎地管理，最小的风险也影响着绩效。</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201"/>
        <w:textAlignment w:val="auto"/>
        <w:rPr>
          <w:rFonts w:eastAsia="微软雅黑"/>
        </w:rPr>
      </w:pPr>
      <w:r>
        <w:rPr>
          <w:rFonts w:eastAsia="微软雅黑"/>
        </w:rPr>
        <w:t>而风险管理，做为一个新兴的管理概念，正处于发展阶段，它将帮助采购管理者与团队定义风险并且负责管理。本课程将基于：</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ascii="Times New Roman" w:hAnsi="Times New Roman" w:eastAsia="微软雅黑"/>
        </w:rPr>
      </w:pPr>
      <w:r>
        <w:rPr>
          <w:rFonts w:ascii="Times New Roman" w:hAnsi="Times New Roman" w:eastAsia="微软雅黑"/>
        </w:rPr>
        <w:t>国际成熟的风险管理体系与多年的实践经验</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ascii="Times New Roman" w:hAnsi="Times New Roman" w:eastAsia="微软雅黑"/>
        </w:rPr>
      </w:pPr>
      <w:r>
        <w:rPr>
          <w:rFonts w:ascii="Times New Roman" w:hAnsi="Times New Roman" w:eastAsia="微软雅黑"/>
        </w:rPr>
        <w:t>Coronavirus带来的供应链管理风险与应对（2020年1月27日发表）</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ascii="Times New Roman" w:hAnsi="Times New Roman" w:eastAsia="微软雅黑"/>
        </w:rPr>
      </w:pPr>
      <w:r>
        <w:rPr>
          <w:rFonts w:ascii="Times New Roman" w:hAnsi="Times New Roman" w:eastAsia="微软雅黑"/>
        </w:rPr>
        <w:t>疫情中的供应风险应对课程（2020年2月上旬至今，12000+采购与供应链管理人员已参加课程学习）</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hint="eastAsia" w:ascii="Times New Roman" w:hAnsi="Times New Roman" w:eastAsia="微软雅黑"/>
        </w:rPr>
      </w:pPr>
      <w:r>
        <w:rPr>
          <w:rFonts w:ascii="Times New Roman" w:hAnsi="Times New Roman" w:eastAsia="微软雅黑"/>
        </w:rPr>
        <w:t>疫情中的需求与供应管理课程（同上）</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ascii="Times New Roman" w:hAnsi="Times New Roman" w:eastAsia="微软雅黑"/>
        </w:rPr>
      </w:pPr>
      <w:r>
        <w:rPr>
          <w:rFonts w:ascii="Times New Roman" w:hAnsi="Times New Roman" w:eastAsia="微软雅黑"/>
        </w:rPr>
        <w:t>华东制造业复工瓶颈问题调查（2020年2月22日发表）</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ascii="Times New Roman" w:hAnsi="Times New Roman" w:eastAsia="微软雅黑"/>
        </w:rPr>
      </w:pPr>
      <w:r>
        <w:rPr>
          <w:rFonts w:ascii="Times New Roman" w:hAnsi="Times New Roman" w:eastAsia="微软雅黑"/>
        </w:rPr>
        <w:t>疫情下华东地区244家制造型企业供应链风险管理调查报告（2020年2月24日发表）</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ascii="Times New Roman" w:hAnsi="Times New Roman" w:eastAsia="微软雅黑"/>
        </w:rPr>
      </w:pPr>
      <w:r>
        <w:rPr>
          <w:rFonts w:ascii="Times New Roman" w:hAnsi="Times New Roman" w:eastAsia="微软雅黑"/>
        </w:rPr>
        <w:t>国家关于重大公共卫生事件应急管理论文征集《适合中国制造业特点的供应危机应对管理系统研究》（与北京物资学院合作申报国家课题，进行中）</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hanging="420" w:firstLineChars="0"/>
        <w:textAlignment w:val="auto"/>
        <w:rPr>
          <w:rFonts w:ascii="Times New Roman" w:hAnsi="Times New Roman" w:eastAsia="微软雅黑"/>
        </w:rPr>
      </w:pPr>
      <w:r>
        <w:rPr>
          <w:rFonts w:ascii="Times New Roman" w:hAnsi="Times New Roman" w:eastAsia="微软雅黑"/>
        </w:rPr>
        <w:t>国家应急物流与供应链管理网络研讨会（应武汉大学邀请，2020年3月8日-3月14日）</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201"/>
        <w:textAlignment w:val="auto"/>
        <w:rPr>
          <w:rFonts w:eastAsia="微软雅黑"/>
        </w:rPr>
      </w:pPr>
      <w:r>
        <w:rPr>
          <w:rFonts w:eastAsia="微软雅黑"/>
        </w:rPr>
        <w:t>帮助学员了解风险管理及其对供应的影响，理解这个主题的重要性，能有效识别供应管理的核心领域风险。然后，从供应风险管理的必要性出发，提出供应风险管理的原则与计划，并将其作为重要组成部分引入到企业管理中。并且针对当下全球疫情中与疫情后的供应风险管理落地的短期与中长期管理方案。</w:t>
      </w:r>
    </w:p>
    <w:p>
      <w:pPr>
        <w:keepNext w:val="0"/>
        <w:keepLines w:val="0"/>
        <w:pageBreakBefore w:val="0"/>
        <w:widowControl w:val="0"/>
        <w:kinsoku/>
        <w:wordWrap/>
        <w:overflowPunct/>
        <w:topLinePunct w:val="0"/>
        <w:autoSpaceDE/>
        <w:autoSpaceDN/>
        <w:bidi w:val="0"/>
        <w:adjustRightInd/>
        <w:snapToGrid/>
        <w:spacing w:line="520" w:lineRule="exact"/>
        <w:ind w:left="1228" w:leftChars="13" w:hanging="1201" w:hangingChars="500"/>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w:t>
      </w:r>
      <w:r>
        <w:rPr>
          <w:rFonts w:hint="eastAsia" w:eastAsia="微软雅黑"/>
          <w:b/>
          <w:color w:val="C00000"/>
          <w:sz w:val="24"/>
          <w:szCs w:val="24"/>
          <w14:shadow w14:blurRad="50800" w14:dist="38100" w14:dir="2700000" w14:sx="100000" w14:sy="100000" w14:kx="0" w14:ky="0" w14:algn="tl">
            <w14:srgbClr w14:val="000000">
              <w14:alpha w14:val="60000"/>
            </w14:srgbClr>
          </w14:shadow>
        </w:rPr>
        <w:t>形式</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rPr>
          <w:rFonts w:eastAsia="微软雅黑"/>
        </w:rPr>
      </w:pPr>
      <w:r>
        <w:rPr>
          <w:rFonts w:eastAsia="微软雅黑"/>
        </w:rPr>
        <w:t>幽默风趣|案例丰富|实战演练|严谨系统|谦逊亲和</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rPr>
          <w:rFonts w:eastAsia="微软雅黑"/>
        </w:rPr>
      </w:pPr>
      <w:r>
        <w:rPr>
          <w:rFonts w:eastAsia="微软雅黑"/>
        </w:rPr>
        <w:t>20多年实践经验，自身积累的案例结合系统性的理论，让课程全程细致通透无难点无疑点</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rPr>
          <w:rFonts w:eastAsia="微软雅黑"/>
        </w:rPr>
      </w:pPr>
      <w:r>
        <w:rPr>
          <w:rFonts w:eastAsia="微软雅黑"/>
        </w:rPr>
        <w:t>从“道”与“法”着手，穿透“术”与“器”，让学员能够即学即用，既懂原理，又懂实操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参训对象</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eastAsia="微软雅黑"/>
        </w:rPr>
      </w:pPr>
      <w:r>
        <w:rPr>
          <w:rFonts w:eastAsia="微软雅黑"/>
        </w:rPr>
        <w:t>采购与供应链管理从业人员，以及企业管理人员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520" w:lineRule="exact"/>
        <w:ind w:left="390" w:right="741" w:rightChars="353" w:firstLineChars="0"/>
        <w:textAlignment w:val="auto"/>
        <w:rPr>
          <w:rFonts w:ascii="Times New Roman" w:hAnsi="Times New Roman" w:eastAsia="微软雅黑"/>
          <w:b/>
          <w:bCs/>
        </w:rPr>
      </w:pPr>
      <w:r>
        <w:rPr>
          <w:rFonts w:ascii="Times New Roman" w:hAnsi="Times New Roman" w:eastAsia="微软雅黑"/>
          <w:bCs/>
        </w:rPr>
        <w:t>风险管理与影响供应链的风险的特性</w:t>
      </w:r>
    </w:p>
    <w:p>
      <w:pPr>
        <w:pStyle w:val="9"/>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1" w:firstLineChars="0"/>
        <w:textAlignment w:val="auto"/>
        <w:rPr>
          <w:rFonts w:ascii="Times New Roman" w:hAnsi="Times New Roman" w:eastAsia="微软雅黑"/>
        </w:rPr>
      </w:pPr>
      <w:r>
        <w:rPr>
          <w:rFonts w:ascii="Times New Roman" w:hAnsi="Times New Roman" w:eastAsia="微软雅黑"/>
        </w:rPr>
        <w:t>了解风险</w:t>
      </w:r>
    </w:p>
    <w:p>
      <w:pPr>
        <w:pStyle w:val="9"/>
        <w:keepNext w:val="0"/>
        <w:keepLines w:val="0"/>
        <w:pageBreakBefore w:val="0"/>
        <w:widowControl w:val="0"/>
        <w:numPr>
          <w:ilvl w:val="2"/>
          <w:numId w:val="6"/>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什么是风险</w:t>
      </w:r>
    </w:p>
    <w:p>
      <w:pPr>
        <w:pStyle w:val="9"/>
        <w:keepNext w:val="0"/>
        <w:keepLines w:val="0"/>
        <w:pageBreakBefore w:val="0"/>
        <w:widowControl w:val="0"/>
        <w:numPr>
          <w:ilvl w:val="2"/>
          <w:numId w:val="6"/>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风险的管理</w:t>
      </w:r>
    </w:p>
    <w:p>
      <w:pPr>
        <w:pStyle w:val="9"/>
        <w:keepNext w:val="0"/>
        <w:keepLines w:val="0"/>
        <w:pageBreakBefore w:val="0"/>
        <w:widowControl w:val="0"/>
        <w:numPr>
          <w:ilvl w:val="2"/>
          <w:numId w:val="6"/>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供应链管理中的风险：外部风险，内部风险</w:t>
      </w:r>
    </w:p>
    <w:p>
      <w:pPr>
        <w:pStyle w:val="9"/>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1" w:firstLineChars="0"/>
        <w:textAlignment w:val="auto"/>
        <w:rPr>
          <w:rFonts w:ascii="Times New Roman" w:hAnsi="Times New Roman" w:eastAsia="微软雅黑"/>
        </w:rPr>
      </w:pPr>
      <w:r>
        <w:rPr>
          <w:rFonts w:ascii="Times New Roman" w:hAnsi="Times New Roman" w:eastAsia="微软雅黑"/>
        </w:rPr>
        <w:t>定义风险</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right="741" w:rightChars="353" w:firstLine="426"/>
        <w:textAlignment w:val="auto"/>
        <w:rPr>
          <w:rFonts w:eastAsia="微软雅黑"/>
          <w:bCs/>
        </w:rPr>
      </w:pPr>
      <w:r>
        <w:rPr>
          <w:rFonts w:eastAsia="微软雅黑"/>
          <w:bCs/>
        </w:rPr>
        <w:t>风险的特征</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right="741" w:rightChars="353" w:firstLine="426"/>
        <w:textAlignment w:val="auto"/>
        <w:rPr>
          <w:rFonts w:eastAsia="微软雅黑"/>
          <w:bCs/>
        </w:rPr>
      </w:pPr>
      <w:r>
        <w:rPr>
          <w:rFonts w:eastAsia="微软雅黑"/>
          <w:bCs/>
        </w:rPr>
        <w:t>如何做决策</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right="741" w:rightChars="353" w:firstLine="426"/>
        <w:textAlignment w:val="auto"/>
        <w:rPr>
          <w:rFonts w:eastAsia="微软雅黑"/>
          <w:bCs/>
        </w:rPr>
      </w:pPr>
      <w:r>
        <w:rPr>
          <w:rFonts w:eastAsia="微软雅黑"/>
          <w:bCs/>
        </w:rPr>
        <w:t>决策模型有哪些？</w:t>
      </w:r>
    </w:p>
    <w:p>
      <w:pPr>
        <w:pStyle w:val="9"/>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1" w:firstLineChars="0"/>
        <w:textAlignment w:val="auto"/>
        <w:rPr>
          <w:rFonts w:ascii="Times New Roman" w:hAnsi="Times New Roman" w:eastAsia="微软雅黑"/>
        </w:rPr>
      </w:pPr>
      <w:r>
        <w:rPr>
          <w:rFonts w:ascii="Times New Roman" w:hAnsi="Times New Roman" w:eastAsia="微软雅黑"/>
        </w:rPr>
        <w:t>供应链管理</w:t>
      </w:r>
    </w:p>
    <w:p>
      <w:pPr>
        <w:pStyle w:val="9"/>
        <w:keepNext w:val="0"/>
        <w:keepLines w:val="0"/>
        <w:pageBreakBefore w:val="0"/>
        <w:widowControl w:val="0"/>
        <w:numPr>
          <w:ilvl w:val="2"/>
          <w:numId w:val="6"/>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供应链管理的定义与结构</w:t>
      </w:r>
    </w:p>
    <w:p>
      <w:pPr>
        <w:pStyle w:val="9"/>
        <w:keepNext w:val="0"/>
        <w:keepLines w:val="0"/>
        <w:pageBreakBefore w:val="0"/>
        <w:widowControl w:val="0"/>
        <w:numPr>
          <w:ilvl w:val="2"/>
          <w:numId w:val="6"/>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供应链管理的目标，活动与重要性</w:t>
      </w:r>
    </w:p>
    <w:p>
      <w:pPr>
        <w:pStyle w:val="9"/>
        <w:keepNext w:val="0"/>
        <w:keepLines w:val="0"/>
        <w:pageBreakBefore w:val="0"/>
        <w:widowControl w:val="0"/>
        <w:numPr>
          <w:ilvl w:val="2"/>
          <w:numId w:val="6"/>
        </w:numPr>
        <w:kinsoku/>
        <w:wordWrap/>
        <w:overflowPunct/>
        <w:topLinePunct w:val="0"/>
        <w:autoSpaceDE/>
        <w:autoSpaceDN/>
        <w:bidi w:val="0"/>
        <w:adjustRightInd/>
        <w:snapToGrid/>
        <w:spacing w:line="520" w:lineRule="exact"/>
        <w:ind w:right="741" w:rightChars="353" w:firstLineChars="0"/>
        <w:textAlignment w:val="auto"/>
        <w:rPr>
          <w:rFonts w:hint="eastAsia" w:ascii="Times New Roman" w:hAnsi="Times New Roman" w:eastAsia="微软雅黑"/>
          <w:bCs/>
        </w:rPr>
      </w:pPr>
      <w:r>
        <w:rPr>
          <w:rFonts w:ascii="Times New Roman" w:hAnsi="Times New Roman" w:eastAsia="微软雅黑"/>
          <w:bCs/>
        </w:rPr>
        <w:t>供应链的风险隐藏在哪里</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案例复盘:挑战者号的悲剧是如何酿成的？</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课程练习</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520" w:lineRule="exact"/>
        <w:ind w:left="390" w:right="741" w:rightChars="353" w:firstLineChars="0"/>
        <w:textAlignment w:val="auto"/>
        <w:rPr>
          <w:rFonts w:ascii="Times New Roman" w:hAnsi="Times New Roman" w:eastAsia="微软雅黑"/>
          <w:bCs/>
        </w:rPr>
      </w:pPr>
      <w:r>
        <w:rPr>
          <w:rFonts w:ascii="Times New Roman" w:hAnsi="Times New Roman" w:eastAsia="微软雅黑"/>
          <w:bCs/>
        </w:rPr>
        <w:t>如何通过管理缓解供应中的风险</w:t>
      </w:r>
    </w:p>
    <w:p>
      <w:pPr>
        <w:pStyle w:val="9"/>
        <w:keepNext w:val="0"/>
        <w:keepLines w:val="0"/>
        <w:pageBreakBefore w:val="0"/>
        <w:widowControl w:val="0"/>
        <w:numPr>
          <w:ilvl w:val="0"/>
          <w:numId w:val="8"/>
        </w:numPr>
        <w:kinsoku/>
        <w:wordWrap/>
        <w:overflowPunct/>
        <w:topLinePunct w:val="0"/>
        <w:autoSpaceDE/>
        <w:autoSpaceDN/>
        <w:bidi w:val="0"/>
        <w:adjustRightInd/>
        <w:snapToGrid/>
        <w:spacing w:line="520" w:lineRule="exact"/>
        <w:ind w:left="851" w:firstLineChars="0"/>
        <w:textAlignment w:val="auto"/>
        <w:rPr>
          <w:rFonts w:ascii="Times New Roman" w:hAnsi="Times New Roman" w:eastAsia="微软雅黑"/>
        </w:rPr>
      </w:pPr>
      <w:r>
        <w:rPr>
          <w:rFonts w:ascii="Times New Roman" w:hAnsi="Times New Roman" w:eastAsia="微软雅黑"/>
        </w:rPr>
        <w:t>供应链管理的风险趋势</w:t>
      </w:r>
    </w:p>
    <w:p>
      <w:pPr>
        <w:pStyle w:val="9"/>
        <w:keepNext w:val="0"/>
        <w:keepLines w:val="0"/>
        <w:pageBreakBefore w:val="0"/>
        <w:widowControl w:val="0"/>
        <w:numPr>
          <w:ilvl w:val="2"/>
          <w:numId w:val="9"/>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风险趋势（如何解读COVID19对于全球供应链的风险冲击）</w:t>
      </w:r>
    </w:p>
    <w:p>
      <w:pPr>
        <w:pStyle w:val="9"/>
        <w:keepNext w:val="0"/>
        <w:keepLines w:val="0"/>
        <w:pageBreakBefore w:val="0"/>
        <w:widowControl w:val="0"/>
        <w:numPr>
          <w:ilvl w:val="2"/>
          <w:numId w:val="9"/>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供应链管理趋势之2020（全球政经格局，商业模式，全球化与逆全球化，消费升级）</w:t>
      </w:r>
    </w:p>
    <w:p>
      <w:pPr>
        <w:pStyle w:val="9"/>
        <w:keepNext w:val="0"/>
        <w:keepLines w:val="0"/>
        <w:pageBreakBefore w:val="0"/>
        <w:widowControl w:val="0"/>
        <w:numPr>
          <w:ilvl w:val="2"/>
          <w:numId w:val="9"/>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导致供应链脆弱的七大因素</w:t>
      </w:r>
    </w:p>
    <w:p>
      <w:pPr>
        <w:pStyle w:val="9"/>
        <w:keepNext w:val="0"/>
        <w:keepLines w:val="0"/>
        <w:pageBreakBefore w:val="0"/>
        <w:widowControl w:val="0"/>
        <w:numPr>
          <w:ilvl w:val="0"/>
          <w:numId w:val="8"/>
        </w:numPr>
        <w:kinsoku/>
        <w:wordWrap/>
        <w:overflowPunct/>
        <w:topLinePunct w:val="0"/>
        <w:autoSpaceDE/>
        <w:autoSpaceDN/>
        <w:bidi w:val="0"/>
        <w:adjustRightInd/>
        <w:snapToGrid/>
        <w:spacing w:line="520" w:lineRule="exact"/>
        <w:ind w:firstLine="1" w:firstLineChars="0"/>
        <w:textAlignment w:val="auto"/>
        <w:rPr>
          <w:rFonts w:ascii="Times New Roman" w:hAnsi="Times New Roman" w:eastAsia="微软雅黑"/>
        </w:rPr>
      </w:pPr>
      <w:r>
        <w:rPr>
          <w:rFonts w:ascii="Times New Roman" w:hAnsi="Times New Roman" w:eastAsia="微软雅黑"/>
        </w:rPr>
        <w:t xml:space="preserve">风险管理的方法 </w:t>
      </w:r>
    </w:p>
    <w:p>
      <w:pPr>
        <w:pStyle w:val="9"/>
        <w:keepNext w:val="0"/>
        <w:keepLines w:val="0"/>
        <w:pageBreakBefore w:val="0"/>
        <w:widowControl w:val="0"/>
        <w:numPr>
          <w:ilvl w:val="2"/>
          <w:numId w:val="10"/>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风险管理发展的历程</w:t>
      </w:r>
    </w:p>
    <w:p>
      <w:pPr>
        <w:pStyle w:val="9"/>
        <w:keepNext w:val="0"/>
        <w:keepLines w:val="0"/>
        <w:pageBreakBefore w:val="0"/>
        <w:widowControl w:val="0"/>
        <w:numPr>
          <w:ilvl w:val="2"/>
          <w:numId w:val="10"/>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风险管理的组织架构</w:t>
      </w:r>
    </w:p>
    <w:p>
      <w:pPr>
        <w:pStyle w:val="9"/>
        <w:keepNext w:val="0"/>
        <w:keepLines w:val="0"/>
        <w:pageBreakBefore w:val="0"/>
        <w:widowControl w:val="0"/>
        <w:numPr>
          <w:ilvl w:val="2"/>
          <w:numId w:val="10"/>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制订风险管理的策略</w:t>
      </w:r>
    </w:p>
    <w:p>
      <w:pPr>
        <w:pStyle w:val="9"/>
        <w:keepNext w:val="0"/>
        <w:keepLines w:val="0"/>
        <w:pageBreakBefore w:val="0"/>
        <w:widowControl w:val="0"/>
        <w:numPr>
          <w:ilvl w:val="2"/>
          <w:numId w:val="10"/>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制订供应链风险管理的目标</w:t>
      </w:r>
    </w:p>
    <w:p>
      <w:pPr>
        <w:pStyle w:val="9"/>
        <w:keepNext w:val="0"/>
        <w:keepLines w:val="0"/>
        <w:pageBreakBefore w:val="0"/>
        <w:widowControl w:val="0"/>
        <w:numPr>
          <w:ilvl w:val="2"/>
          <w:numId w:val="10"/>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制订供应链风险管理的步骤</w:t>
      </w:r>
    </w:p>
    <w:p>
      <w:pPr>
        <w:pStyle w:val="9"/>
        <w:keepNext w:val="0"/>
        <w:keepLines w:val="0"/>
        <w:pageBreakBefore w:val="0"/>
        <w:widowControl w:val="0"/>
        <w:numPr>
          <w:ilvl w:val="2"/>
          <w:numId w:val="10"/>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供应链风险管理的原则</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案例复盘：长臂管辖导致的经营危机</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课程练习</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520" w:lineRule="exact"/>
        <w:ind w:left="390" w:right="741" w:rightChars="353" w:firstLineChars="0"/>
        <w:textAlignment w:val="auto"/>
        <w:rPr>
          <w:rFonts w:ascii="Times New Roman" w:hAnsi="Times New Roman" w:eastAsia="微软雅黑"/>
          <w:bCs/>
        </w:rPr>
      </w:pPr>
      <w:r>
        <w:rPr>
          <w:rFonts w:ascii="Times New Roman" w:hAnsi="Times New Roman" w:eastAsia="微软雅黑"/>
          <w:bCs/>
        </w:rPr>
        <w:t xml:space="preserve">供应链风险管理的主要流程 </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1" w:firstLineChars="0"/>
        <w:textAlignment w:val="auto"/>
        <w:rPr>
          <w:rFonts w:ascii="Times New Roman" w:hAnsi="Times New Roman" w:eastAsia="微软雅黑"/>
        </w:rPr>
      </w:pPr>
      <w:r>
        <w:rPr>
          <w:rFonts w:ascii="Times New Roman" w:hAnsi="Times New Roman" w:eastAsia="微软雅黑"/>
        </w:rPr>
        <w:t>识别风险</w:t>
      </w:r>
    </w:p>
    <w:p>
      <w:pPr>
        <w:pStyle w:val="9"/>
        <w:keepNext w:val="0"/>
        <w:keepLines w:val="0"/>
        <w:pageBreakBefore w:val="0"/>
        <w:widowControl w:val="0"/>
        <w:numPr>
          <w:ilvl w:val="2"/>
          <w:numId w:val="12"/>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种类与识别</w:t>
      </w:r>
    </w:p>
    <w:p>
      <w:pPr>
        <w:pStyle w:val="9"/>
        <w:keepNext w:val="0"/>
        <w:keepLines w:val="0"/>
        <w:pageBreakBefore w:val="0"/>
        <w:widowControl w:val="0"/>
        <w:numPr>
          <w:ilvl w:val="2"/>
          <w:numId w:val="12"/>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工具：</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ind w:left="1260" w:leftChars="0" w:right="741" w:rightChars="353" w:hanging="420" w:firstLineChars="0"/>
        <w:textAlignment w:val="auto"/>
        <w:rPr>
          <w:rFonts w:ascii="Times New Roman" w:hAnsi="Times New Roman" w:eastAsia="微软雅黑"/>
          <w:bCs/>
        </w:rPr>
      </w:pPr>
      <w:r>
        <w:rPr>
          <w:rFonts w:ascii="Times New Roman" w:hAnsi="Times New Roman" w:eastAsia="微软雅黑"/>
          <w:bCs/>
        </w:rPr>
        <w:t>分析已发生的风险事件和工具</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ind w:left="1260" w:leftChars="0" w:right="741" w:rightChars="353" w:hanging="420" w:firstLineChars="0"/>
        <w:textAlignment w:val="auto"/>
        <w:rPr>
          <w:rFonts w:ascii="Times New Roman" w:hAnsi="Times New Roman" w:eastAsia="微软雅黑"/>
          <w:bCs/>
        </w:rPr>
      </w:pPr>
      <w:r>
        <w:rPr>
          <w:rFonts w:ascii="Times New Roman" w:hAnsi="Times New Roman" w:eastAsia="微软雅黑"/>
          <w:bCs/>
        </w:rPr>
        <w:t>预判未来潜在风险的工具</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ind w:left="1260" w:leftChars="0" w:right="741" w:rightChars="353" w:hanging="420" w:firstLineChars="0"/>
        <w:textAlignment w:val="auto"/>
        <w:rPr>
          <w:rFonts w:ascii="Times New Roman" w:hAnsi="Times New Roman" w:eastAsia="微软雅黑"/>
          <w:bCs/>
        </w:rPr>
      </w:pPr>
      <w:r>
        <w:rPr>
          <w:rFonts w:ascii="Times New Roman" w:hAnsi="Times New Roman" w:eastAsia="微软雅黑"/>
          <w:bCs/>
        </w:rPr>
        <w:t>流程分析与过程控制工具</w:t>
      </w:r>
    </w:p>
    <w:p>
      <w:pPr>
        <w:pStyle w:val="9"/>
        <w:keepNext w:val="0"/>
        <w:keepLines w:val="0"/>
        <w:pageBreakBefore w:val="0"/>
        <w:widowControl w:val="0"/>
        <w:numPr>
          <w:ilvl w:val="2"/>
          <w:numId w:val="12"/>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潜在的问题</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1" w:firstLineChars="0"/>
        <w:textAlignment w:val="auto"/>
        <w:rPr>
          <w:rFonts w:ascii="Times New Roman" w:hAnsi="Times New Roman" w:eastAsia="微软雅黑"/>
        </w:rPr>
      </w:pPr>
      <w:r>
        <w:rPr>
          <w:rFonts w:ascii="Times New Roman" w:hAnsi="Times New Roman" w:eastAsia="微软雅黑"/>
        </w:rPr>
        <w:t>分析风险</w:t>
      </w:r>
    </w:p>
    <w:p>
      <w:pPr>
        <w:pStyle w:val="9"/>
        <w:keepNext w:val="0"/>
        <w:keepLines w:val="0"/>
        <w:pageBreakBefore w:val="0"/>
        <w:widowControl w:val="0"/>
        <w:numPr>
          <w:ilvl w:val="2"/>
          <w:numId w:val="14"/>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如何进行风险的定量分析</w:t>
      </w:r>
    </w:p>
    <w:p>
      <w:pPr>
        <w:pStyle w:val="9"/>
        <w:keepNext w:val="0"/>
        <w:keepLines w:val="0"/>
        <w:pageBreakBefore w:val="0"/>
        <w:widowControl w:val="0"/>
        <w:numPr>
          <w:ilvl w:val="2"/>
          <w:numId w:val="14"/>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确定风险发生的概率</w:t>
      </w:r>
    </w:p>
    <w:p>
      <w:pPr>
        <w:pStyle w:val="9"/>
        <w:keepNext w:val="0"/>
        <w:keepLines w:val="0"/>
        <w:pageBreakBefore w:val="0"/>
        <w:widowControl w:val="0"/>
        <w:numPr>
          <w:ilvl w:val="2"/>
          <w:numId w:val="14"/>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确定风险发生的后果</w:t>
      </w:r>
    </w:p>
    <w:p>
      <w:pPr>
        <w:pStyle w:val="9"/>
        <w:keepNext w:val="0"/>
        <w:keepLines w:val="0"/>
        <w:pageBreakBefore w:val="0"/>
        <w:widowControl w:val="0"/>
        <w:numPr>
          <w:ilvl w:val="2"/>
          <w:numId w:val="14"/>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制定风登记表</w:t>
      </w:r>
    </w:p>
    <w:p>
      <w:pPr>
        <w:pStyle w:val="9"/>
        <w:keepNext w:val="0"/>
        <w:keepLines w:val="0"/>
        <w:pageBreakBefore w:val="0"/>
        <w:widowControl w:val="0"/>
        <w:numPr>
          <w:ilvl w:val="2"/>
          <w:numId w:val="14"/>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如何进行对于风险分析结果的总结</w:t>
      </w:r>
    </w:p>
    <w:p>
      <w:pPr>
        <w:pStyle w:val="9"/>
        <w:keepNext w:val="0"/>
        <w:keepLines w:val="0"/>
        <w:pageBreakBefore w:val="0"/>
        <w:widowControl w:val="0"/>
        <w:numPr>
          <w:ilvl w:val="2"/>
          <w:numId w:val="14"/>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风险分析工具</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1" w:firstLineChars="0"/>
        <w:textAlignment w:val="auto"/>
        <w:rPr>
          <w:rFonts w:ascii="Times New Roman" w:hAnsi="Times New Roman" w:eastAsia="微软雅黑"/>
        </w:rPr>
      </w:pPr>
      <w:r>
        <w:rPr>
          <w:rFonts w:ascii="Times New Roman" w:hAnsi="Times New Roman" w:eastAsia="微软雅黑"/>
        </w:rPr>
        <w:t>风险应对</w:t>
      </w:r>
    </w:p>
    <w:p>
      <w:pPr>
        <w:pStyle w:val="9"/>
        <w:keepNext w:val="0"/>
        <w:keepLines w:val="0"/>
        <w:pageBreakBefore w:val="0"/>
        <w:widowControl w:val="0"/>
        <w:numPr>
          <w:ilvl w:val="2"/>
          <w:numId w:val="15"/>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应对风险的策略组合</w:t>
      </w:r>
    </w:p>
    <w:p>
      <w:pPr>
        <w:pStyle w:val="9"/>
        <w:keepNext w:val="0"/>
        <w:keepLines w:val="0"/>
        <w:pageBreakBefore w:val="0"/>
        <w:widowControl w:val="0"/>
        <w:numPr>
          <w:ilvl w:val="2"/>
          <w:numId w:val="15"/>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与备用选择</w:t>
      </w:r>
    </w:p>
    <w:p>
      <w:pPr>
        <w:pStyle w:val="9"/>
        <w:keepNext w:val="0"/>
        <w:keepLines w:val="0"/>
        <w:pageBreakBefore w:val="0"/>
        <w:widowControl w:val="0"/>
        <w:numPr>
          <w:ilvl w:val="2"/>
          <w:numId w:val="15"/>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选择应对风险的措施</w:t>
      </w:r>
    </w:p>
    <w:p>
      <w:pPr>
        <w:pStyle w:val="9"/>
        <w:keepNext w:val="0"/>
        <w:keepLines w:val="0"/>
        <w:pageBreakBefore w:val="0"/>
        <w:widowControl w:val="0"/>
        <w:numPr>
          <w:ilvl w:val="2"/>
          <w:numId w:val="15"/>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选择理想应对措施的决策方法</w:t>
      </w:r>
    </w:p>
    <w:p>
      <w:pPr>
        <w:pStyle w:val="9"/>
        <w:keepNext w:val="0"/>
        <w:keepLines w:val="0"/>
        <w:pageBreakBefore w:val="0"/>
        <w:widowControl w:val="0"/>
        <w:numPr>
          <w:ilvl w:val="2"/>
          <w:numId w:val="15"/>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实施和激活</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案例复盘：2020年1月27日评估的新冠肺炎疫情中的供应链管理风险与应对</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案例复盘:芯片危机之此消彼长</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课程练习</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520" w:lineRule="exact"/>
        <w:ind w:left="390" w:right="741" w:rightChars="353" w:firstLineChars="0"/>
        <w:textAlignment w:val="auto"/>
        <w:rPr>
          <w:rFonts w:ascii="Times New Roman" w:hAnsi="Times New Roman" w:eastAsia="微软雅黑"/>
          <w:bCs/>
        </w:rPr>
      </w:pPr>
      <w:r>
        <w:rPr>
          <w:rFonts w:ascii="Times New Roman" w:hAnsi="Times New Roman" w:eastAsia="微软雅黑"/>
          <w:bCs/>
        </w:rPr>
        <w:t>缓解供应链风险的风险管理战略</w:t>
      </w:r>
    </w:p>
    <w:p>
      <w:pPr>
        <w:pStyle w:val="9"/>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420" w:leftChars="200" w:firstLineChars="0"/>
        <w:textAlignment w:val="auto"/>
        <w:rPr>
          <w:rFonts w:ascii="Times New Roman" w:hAnsi="Times New Roman" w:eastAsia="微软雅黑"/>
        </w:rPr>
      </w:pPr>
      <w:r>
        <w:rPr>
          <w:rFonts w:ascii="Times New Roman" w:hAnsi="Times New Roman" w:eastAsia="微软雅黑"/>
        </w:rPr>
        <w:t>供应链网络风险一体化</w:t>
      </w:r>
    </w:p>
    <w:p>
      <w:pPr>
        <w:pStyle w:val="9"/>
        <w:keepNext w:val="0"/>
        <w:keepLines w:val="0"/>
        <w:pageBreakBefore w:val="0"/>
        <w:widowControl w:val="0"/>
        <w:numPr>
          <w:ilvl w:val="2"/>
          <w:numId w:val="17"/>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供应链网络中的风险分担</w:t>
      </w:r>
    </w:p>
    <w:p>
      <w:pPr>
        <w:pStyle w:val="9"/>
        <w:keepNext w:val="0"/>
        <w:keepLines w:val="0"/>
        <w:pageBreakBefore w:val="0"/>
        <w:widowControl w:val="0"/>
        <w:numPr>
          <w:ilvl w:val="2"/>
          <w:numId w:val="17"/>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一体化的方法</w:t>
      </w:r>
    </w:p>
    <w:p>
      <w:pPr>
        <w:pStyle w:val="9"/>
        <w:keepNext w:val="0"/>
        <w:keepLines w:val="0"/>
        <w:pageBreakBefore w:val="0"/>
        <w:widowControl w:val="0"/>
        <w:numPr>
          <w:ilvl w:val="2"/>
          <w:numId w:val="17"/>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识别，分析和应对</w:t>
      </w:r>
    </w:p>
    <w:p>
      <w:pPr>
        <w:pStyle w:val="9"/>
        <w:keepNext w:val="0"/>
        <w:keepLines w:val="0"/>
        <w:pageBreakBefore w:val="0"/>
        <w:widowControl w:val="0"/>
        <w:numPr>
          <w:ilvl w:val="2"/>
          <w:numId w:val="17"/>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供应链风险管理一体化的问题与级别</w:t>
      </w:r>
    </w:p>
    <w:p>
      <w:pPr>
        <w:pStyle w:val="9"/>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420" w:leftChars="200" w:firstLineChars="0"/>
        <w:textAlignment w:val="auto"/>
        <w:rPr>
          <w:rFonts w:ascii="Times New Roman" w:hAnsi="Times New Roman" w:eastAsia="微软雅黑"/>
        </w:rPr>
      </w:pPr>
      <w:r>
        <w:rPr>
          <w:rFonts w:ascii="Times New Roman" w:hAnsi="Times New Roman" w:eastAsia="微软雅黑"/>
        </w:rPr>
        <w:t>供应链安全的可持续性</w:t>
      </w:r>
    </w:p>
    <w:p>
      <w:pPr>
        <w:pStyle w:val="9"/>
        <w:keepNext w:val="0"/>
        <w:keepLines w:val="0"/>
        <w:pageBreakBefore w:val="0"/>
        <w:widowControl w:val="0"/>
        <w:numPr>
          <w:ilvl w:val="2"/>
          <w:numId w:val="18"/>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设计高适应性的供应链</w:t>
      </w:r>
    </w:p>
    <w:p>
      <w:pPr>
        <w:pStyle w:val="9"/>
        <w:keepNext w:val="0"/>
        <w:keepLines w:val="0"/>
        <w:pageBreakBefore w:val="0"/>
        <w:widowControl w:val="0"/>
        <w:numPr>
          <w:ilvl w:val="2"/>
          <w:numId w:val="18"/>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高适应性供应链设计原则</w:t>
      </w:r>
    </w:p>
    <w:p>
      <w:pPr>
        <w:pStyle w:val="9"/>
        <w:keepNext w:val="0"/>
        <w:keepLines w:val="0"/>
        <w:pageBreakBefore w:val="0"/>
        <w:widowControl w:val="0"/>
        <w:numPr>
          <w:ilvl w:val="2"/>
          <w:numId w:val="18"/>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高适应性供应链的物理特点</w:t>
      </w:r>
    </w:p>
    <w:p>
      <w:pPr>
        <w:pStyle w:val="9"/>
        <w:keepNext w:val="0"/>
        <w:keepLines w:val="0"/>
        <w:pageBreakBefore w:val="0"/>
        <w:widowControl w:val="0"/>
        <w:numPr>
          <w:ilvl w:val="2"/>
          <w:numId w:val="18"/>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内在关系</w:t>
      </w:r>
    </w:p>
    <w:p>
      <w:pPr>
        <w:pStyle w:val="9"/>
        <w:keepNext w:val="0"/>
        <w:keepLines w:val="0"/>
        <w:pageBreakBefore w:val="0"/>
        <w:widowControl w:val="0"/>
        <w:numPr>
          <w:ilvl w:val="2"/>
          <w:numId w:val="18"/>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风险补偿</w:t>
      </w:r>
    </w:p>
    <w:p>
      <w:pPr>
        <w:pStyle w:val="9"/>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420" w:leftChars="200" w:firstLineChars="0"/>
        <w:textAlignment w:val="auto"/>
        <w:rPr>
          <w:rFonts w:ascii="Times New Roman" w:hAnsi="Times New Roman" w:eastAsia="微软雅黑"/>
        </w:rPr>
      </w:pPr>
      <w:r>
        <w:rPr>
          <w:rFonts w:ascii="Times New Roman" w:hAnsi="Times New Roman" w:eastAsia="微软雅黑"/>
        </w:rPr>
        <w:t>业务持续计划与灾难恢复计划</w:t>
      </w:r>
    </w:p>
    <w:p>
      <w:pPr>
        <w:pStyle w:val="9"/>
        <w:keepNext w:val="0"/>
        <w:keepLines w:val="0"/>
        <w:pageBreakBefore w:val="0"/>
        <w:widowControl w:val="0"/>
        <w:numPr>
          <w:ilvl w:val="2"/>
          <w:numId w:val="19"/>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应急和危机管理</w:t>
      </w:r>
    </w:p>
    <w:p>
      <w:pPr>
        <w:pStyle w:val="9"/>
        <w:keepNext w:val="0"/>
        <w:keepLines w:val="0"/>
        <w:pageBreakBefore w:val="0"/>
        <w:widowControl w:val="0"/>
        <w:numPr>
          <w:ilvl w:val="2"/>
          <w:numId w:val="19"/>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企业社会责任和道德</w:t>
      </w:r>
    </w:p>
    <w:p>
      <w:pPr>
        <w:pStyle w:val="9"/>
        <w:keepNext w:val="0"/>
        <w:keepLines w:val="0"/>
        <w:pageBreakBefore w:val="0"/>
        <w:widowControl w:val="0"/>
        <w:numPr>
          <w:ilvl w:val="2"/>
          <w:numId w:val="19"/>
        </w:numPr>
        <w:kinsoku/>
        <w:wordWrap/>
        <w:overflowPunct/>
        <w:topLinePunct w:val="0"/>
        <w:autoSpaceDE/>
        <w:autoSpaceDN/>
        <w:bidi w:val="0"/>
        <w:adjustRightInd/>
        <w:snapToGrid/>
        <w:spacing w:line="520" w:lineRule="exact"/>
        <w:ind w:right="741" w:rightChars="353" w:firstLineChars="0"/>
        <w:textAlignment w:val="auto"/>
        <w:rPr>
          <w:rFonts w:ascii="Times New Roman" w:hAnsi="Times New Roman" w:eastAsia="微软雅黑"/>
          <w:bCs/>
        </w:rPr>
      </w:pPr>
      <w:r>
        <w:rPr>
          <w:rFonts w:ascii="Times New Roman" w:hAnsi="Times New Roman" w:eastAsia="微软雅黑"/>
          <w:bCs/>
        </w:rPr>
        <w:t>业务持续管理</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案例复盘:2020新冠肺炎疫情冲击下的供应风险应对方案</w:t>
      </w:r>
    </w:p>
    <w:p>
      <w:pPr>
        <w:keepNext w:val="0"/>
        <w:keepLines w:val="0"/>
        <w:pageBreakBefore w:val="0"/>
        <w:widowControl w:val="0"/>
        <w:kinsoku/>
        <w:wordWrap/>
        <w:overflowPunct/>
        <w:topLinePunct w:val="0"/>
        <w:autoSpaceDE/>
        <w:autoSpaceDN/>
        <w:bidi w:val="0"/>
        <w:adjustRightInd/>
        <w:snapToGrid/>
        <w:spacing w:line="520" w:lineRule="exact"/>
        <w:ind w:right="741" w:rightChars="353"/>
        <w:textAlignment w:val="auto"/>
        <w:rPr>
          <w:rFonts w:eastAsia="微软雅黑"/>
          <w:b/>
          <w:bCs/>
        </w:rPr>
      </w:pPr>
      <w:r>
        <w:rPr>
          <w:rFonts w:eastAsia="微软雅黑"/>
          <w:b/>
          <w:bCs/>
        </w:rPr>
        <w:t>课程练习</w:t>
      </w:r>
    </w:p>
    <w:p>
      <w:pPr>
        <w:spacing w:line="480" w:lineRule="exact"/>
        <w:ind w:right="741" w:rightChars="353"/>
        <w:rPr>
          <w:rFonts w:hint="eastAsia" w:eastAsia="微软雅黑"/>
          <w:b/>
          <w:bCs/>
        </w:rPr>
      </w:pPr>
      <w:r>
        <w:rPr>
          <w:rFonts w:eastAsia="微软雅黑"/>
          <w:b/>
          <w:color w:val="4A452A"/>
          <w:sz w:val="24"/>
        </w:rPr>
        <mc:AlternateContent>
          <mc:Choice Requires="wps">
            <w:drawing>
              <wp:anchor distT="0" distB="0" distL="114300" distR="114300" simplePos="0" relativeHeight="251658240" behindDoc="0" locked="0" layoutInCell="1" allowOverlap="1">
                <wp:simplePos x="0" y="0"/>
                <wp:positionH relativeFrom="column">
                  <wp:posOffset>6386195</wp:posOffset>
                </wp:positionH>
                <wp:positionV relativeFrom="paragraph">
                  <wp:posOffset>5774690</wp:posOffset>
                </wp:positionV>
                <wp:extent cx="2133600" cy="365125"/>
                <wp:effectExtent l="0" t="0" r="0" b="0"/>
                <wp:wrapNone/>
                <wp:docPr id="17477" name="矩形 1747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133600" cy="365125"/>
                        </a:xfrm>
                        <a:prstGeom prst="rect">
                          <a:avLst/>
                        </a:prstGeom>
                        <a:noFill/>
                        <a:ln>
                          <a:noFill/>
                        </a:ln>
                        <a:effectLst/>
                      </wps:spPr>
                      <wps:txbx>
                        <w:txbxContent>
                          <w:p>
                            <w:pPr>
                              <w:pStyle w:val="4"/>
                              <w:spacing w:before="0" w:beforeAutospacing="0" w:after="0" w:afterAutospacing="0"/>
                              <w:jc w:val="right"/>
                              <w:textAlignment w:val="baseline"/>
                            </w:pPr>
                            <w:r>
                              <w:rPr>
                                <w:rFonts w:ascii="Calibri" w:hAnsi="Calibri"/>
                                <w:color w:val="898989"/>
                                <w:kern w:val="24"/>
                              </w:rPr>
                              <w:t>3</w:t>
                            </w:r>
                          </w:p>
                        </w:txbxContent>
                      </wps:txbx>
                      <wps:bodyPr vert="horz" wrap="square" lIns="91440" tIns="45720" rIns="91440" bIns="45720" numCol="1" anchor="ctr" anchorCtr="0" compatLnSpc="1"/>
                    </wps:wsp>
                  </a:graphicData>
                </a:graphic>
              </wp:anchor>
            </w:drawing>
          </mc:Choice>
          <mc:Fallback>
            <w:pict>
              <v:rect id="_x0000_s1026" o:spid="_x0000_s1026" o:spt="1" style="position:absolute;left:0pt;margin-left:502.85pt;margin-top:454.7pt;height:28.75pt;width:168pt;z-index:251658240;v-text-anchor:middle;mso-width-relative:page;mso-height-relative:page;" filled="f" stroked="f" coordsize="21600,21600" o:gfxdata="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IEYG/1wAAAA0BAAAPAAAAAAAA&#10;AAEAIAAAACIAAABkcnMvZG93bnJldi54bWxQSwECFAAUAAAACACHTuJA63nZohMCAAAXBAAADgAA&#10;AAAAAAABACAAAAAmAQAAZHJzL2Uyb0RvYy54bWxQSwUGAAAAAAYABgBZAQAAqwUAAAAA&#10;">
                <v:fill on="f" focussize="0,0"/>
                <v:stroke on="f"/>
                <v:imagedata o:title=""/>
                <o:lock v:ext="edit" grouping="t" aspectratio="f"/>
                <v:textbox>
                  <w:txbxContent>
                    <w:p>
                      <w:pPr>
                        <w:pStyle w:val="4"/>
                        <w:spacing w:before="0" w:beforeAutospacing="0" w:after="0" w:afterAutospacing="0"/>
                        <w:jc w:val="right"/>
                        <w:textAlignment w:val="baseline"/>
                      </w:pPr>
                      <w:r>
                        <w:rPr>
                          <w:rFonts w:ascii="Calibri" w:hAnsi="Calibri"/>
                          <w:color w:val="898989"/>
                          <w:kern w:val="24"/>
                        </w:rPr>
                        <w:t>3</w:t>
                      </w:r>
                    </w:p>
                  </w:txbxContent>
                </v:textbox>
              </v:rect>
            </w:pict>
          </mc:Fallback>
        </mc:AlternateContent>
      </w:r>
      <w:r>
        <w:rPr>
          <w:rFonts w:eastAsia="微软雅黑"/>
          <w:b/>
          <w:color w:val="4A452A"/>
          <w:sz w:val="24"/>
        </w:rPr>
        <mc:AlternateContent>
          <mc:Choice Requires="wps">
            <w:drawing>
              <wp:anchor distT="0" distB="0" distL="114300" distR="114300" simplePos="0" relativeHeight="251659264" behindDoc="0" locked="0" layoutInCell="1" allowOverlap="1">
                <wp:simplePos x="0" y="0"/>
                <wp:positionH relativeFrom="column">
                  <wp:posOffset>6433820</wp:posOffset>
                </wp:positionH>
                <wp:positionV relativeFrom="paragraph">
                  <wp:posOffset>6049010</wp:posOffset>
                </wp:positionV>
                <wp:extent cx="2133600" cy="365125"/>
                <wp:effectExtent l="0" t="0" r="0" b="0"/>
                <wp:wrapNone/>
                <wp:docPr id="18507" name="矩形 1850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133600" cy="365125"/>
                        </a:xfrm>
                        <a:prstGeom prst="rect">
                          <a:avLst/>
                        </a:prstGeom>
                        <a:noFill/>
                        <a:ln>
                          <a:noFill/>
                        </a:ln>
                        <a:effectLst/>
                      </wps:spPr>
                      <wps:txbx>
                        <w:txbxContent>
                          <w:p>
                            <w:pPr>
                              <w:pStyle w:val="4"/>
                              <w:spacing w:before="0" w:beforeAutospacing="0" w:after="0" w:afterAutospacing="0"/>
                              <w:jc w:val="right"/>
                              <w:textAlignment w:val="baseline"/>
                            </w:pPr>
                            <w:r>
                              <w:rPr>
                                <w:rFonts w:ascii="Calibri" w:hAnsi="Calibri"/>
                                <w:color w:val="898989"/>
                                <w:kern w:val="24"/>
                              </w:rPr>
                              <w:t>4</w:t>
                            </w:r>
                          </w:p>
                        </w:txbxContent>
                      </wps:txbx>
                      <wps:bodyPr vert="horz" wrap="square" lIns="91440" tIns="45720" rIns="91440" bIns="45720" numCol="1" anchor="ctr" anchorCtr="0" compatLnSpc="1"/>
                    </wps:wsp>
                  </a:graphicData>
                </a:graphic>
              </wp:anchor>
            </w:drawing>
          </mc:Choice>
          <mc:Fallback>
            <w:pict>
              <v:rect id="_x0000_s1026" o:spid="_x0000_s1026" o:spt="1" style="position:absolute;left:0pt;margin-left:506.6pt;margin-top:476.3pt;height:28.75pt;width:168pt;z-index:251659264;v-text-anchor:middle;mso-width-relative:page;mso-height-relative:page;" filled="f" stroked="f" coordsize="21600,21600" o:gfxdata="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vQqx1gAAAA4BAAAPAAAAAAAA&#10;AAEAIAAAACIAAABkcnMvZG93bnJldi54bWxQSwECFAAUAAAACACHTuJA5IxB8xQCAAAXBAAADgAA&#10;AAAAAAABACAAAAAlAQAAZHJzL2Uyb0RvYy54bWxQSwUGAAAAAAYABgBZAQAAqwUAAAAA&#10;">
                <v:fill on="f" focussize="0,0"/>
                <v:stroke on="f"/>
                <v:imagedata o:title=""/>
                <o:lock v:ext="edit" grouping="t" aspectratio="f"/>
                <v:textbox>
                  <w:txbxContent>
                    <w:p>
                      <w:pPr>
                        <w:pStyle w:val="4"/>
                        <w:spacing w:before="0" w:beforeAutospacing="0" w:after="0" w:afterAutospacing="0"/>
                        <w:jc w:val="right"/>
                        <w:textAlignment w:val="baseline"/>
                      </w:pPr>
                      <w:r>
                        <w:rPr>
                          <w:rFonts w:ascii="Calibri" w:hAnsi="Calibri"/>
                          <w:color w:val="898989"/>
                          <w:kern w:val="24"/>
                        </w:rPr>
                        <w:t>4</w:t>
                      </w:r>
                    </w:p>
                  </w:txbxContent>
                </v:textbox>
              </v:rect>
            </w:pict>
          </mc:Fallback>
        </mc:AlternateContent>
      </w:r>
    </w:p>
    <w:p>
      <w:pPr>
        <w:spacing w:line="480" w:lineRule="exact"/>
        <w:ind w:left="1228" w:leftChars="13" w:hanging="1201" w:hangingChars="500"/>
        <w:rPr>
          <w:rFonts w:eastAsia="微软雅黑"/>
          <w:b/>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主讲老师：</w:t>
      </w:r>
      <w:r>
        <w:rPr>
          <w:rFonts w:eastAsia="微软雅黑"/>
          <w:b/>
          <w:sz w:val="24"/>
          <w:szCs w:val="24"/>
          <w14:shadow w14:blurRad="50800" w14:dist="38100" w14:dir="2700000" w14:sx="100000" w14:sy="100000" w14:kx="0" w14:ky="0" w14:algn="tl">
            <w14:srgbClr w14:val="000000">
              <w14:alpha w14:val="60000"/>
            </w14:srgbClr>
          </w14:shadow>
        </w:rPr>
        <w:t>Victor Sha/沙</w:t>
      </w:r>
      <w:r>
        <w:rPr>
          <w:rFonts w:hint="eastAsia" w:eastAsia="微软雅黑"/>
          <w:b/>
          <w:sz w:val="24"/>
          <w:szCs w:val="24"/>
          <w14:shadow w14:blurRad="50800" w14:dist="38100" w14:dir="2700000" w14:sx="100000" w14:sy="100000" w14:kx="0" w14:ky="0" w14:algn="tl">
            <w14:srgbClr w14:val="000000">
              <w14:alpha w14:val="60000"/>
            </w14:srgbClr>
          </w14:shadow>
        </w:rPr>
        <w:t>老师</w:t>
      </w:r>
    </w:p>
    <w:p>
      <w:pPr>
        <w:spacing w:line="480" w:lineRule="exact"/>
        <w:ind w:firstLine="420"/>
        <w:rPr>
          <w:rFonts w:eastAsia="微软雅黑"/>
        </w:rPr>
      </w:pPr>
      <w:r>
        <w:rPr>
          <w:rFonts w:eastAsia="微软雅黑"/>
        </w:rPr>
        <w:t>20年500强欧美中国大型企业中国，亚洲，全球供应链管理、运营管理、项目管理的丰富经验，专注于采购与供应商、供应链管理、成本管理，深悉销售、制造、研发、采购、物流及质量系统的团队工作；拥有大量基于供应商或者采购二维视角，以及运营管理视角的与全球化大企业合作的项目案例；丰富的多团队管理经验、成本改善策略及执行经验、优秀的理念和能力；曾经为外企在中国建立过5家工厂与公司，并负责过多个在业界富有盛名的标杆项目。</w:t>
      </w:r>
    </w:p>
    <w:p>
      <w:pPr>
        <w:spacing w:line="480" w:lineRule="exact"/>
        <w:ind w:left="1228" w:leftChars="13" w:hanging="1201" w:hangingChars="500"/>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曾任职于：</w:t>
      </w:r>
    </w:p>
    <w:p>
      <w:pPr>
        <w:numPr>
          <w:ilvl w:val="0"/>
          <w:numId w:val="20"/>
        </w:numPr>
        <w:spacing w:line="480" w:lineRule="exact"/>
        <w:rPr>
          <w:rFonts w:eastAsia="微软雅黑"/>
        </w:rPr>
      </w:pPr>
      <w:r>
        <w:rPr>
          <w:rFonts w:eastAsia="微软雅黑"/>
        </w:rPr>
        <w:t>空调与重工行业：美资，全球技术排名第一，市场排名第二</w:t>
      </w:r>
    </w:p>
    <w:p>
      <w:pPr>
        <w:numPr>
          <w:ilvl w:val="0"/>
          <w:numId w:val="20"/>
        </w:numPr>
        <w:spacing w:line="480" w:lineRule="exact"/>
        <w:rPr>
          <w:rFonts w:eastAsia="微软雅黑"/>
        </w:rPr>
      </w:pPr>
      <w:r>
        <w:rPr>
          <w:rFonts w:eastAsia="微软雅黑"/>
        </w:rPr>
        <w:t>汽车零部件行业：德资，Tie1，德国市场排名第三</w:t>
      </w:r>
    </w:p>
    <w:p>
      <w:pPr>
        <w:numPr>
          <w:ilvl w:val="0"/>
          <w:numId w:val="20"/>
        </w:numPr>
        <w:spacing w:line="480" w:lineRule="exact"/>
        <w:rPr>
          <w:rFonts w:eastAsia="微软雅黑"/>
        </w:rPr>
      </w:pPr>
      <w:r>
        <w:rPr>
          <w:rFonts w:eastAsia="微软雅黑"/>
        </w:rPr>
        <w:t>家电行业：中资，中国排名第四</w:t>
      </w:r>
    </w:p>
    <w:p>
      <w:pPr>
        <w:numPr>
          <w:ilvl w:val="0"/>
          <w:numId w:val="20"/>
        </w:numPr>
        <w:spacing w:line="480" w:lineRule="exact"/>
        <w:rPr>
          <w:rFonts w:eastAsia="微软雅黑"/>
        </w:rPr>
      </w:pPr>
      <w:r>
        <w:rPr>
          <w:rFonts w:eastAsia="微软雅黑"/>
        </w:rPr>
        <w:t>光电零部件行业：美资，全球技术排名第一，市场排名第一</w:t>
      </w:r>
    </w:p>
    <w:p>
      <w:pPr>
        <w:numPr>
          <w:ilvl w:val="0"/>
          <w:numId w:val="20"/>
        </w:numPr>
        <w:spacing w:line="480" w:lineRule="exact"/>
        <w:rPr>
          <w:rFonts w:eastAsia="微软雅黑"/>
        </w:rPr>
      </w:pPr>
      <w:r>
        <w:rPr>
          <w:rFonts w:eastAsia="微软雅黑"/>
        </w:rPr>
        <w:t>IT与3C零部件行业：英国/加拿大，全球技术排名第一，市场排名第一</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职位：</w:t>
      </w:r>
      <w:r>
        <w:rPr>
          <w:rFonts w:eastAsia="微软雅黑"/>
        </w:rPr>
        <w:t>历任物料经理，亚太区采购经理，资深采购与质量经理，采购总监，亚洲运营经理，总裁助理，VP等高管职务</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擅长：</w:t>
      </w:r>
      <w:r>
        <w:rPr>
          <w:rFonts w:eastAsia="微软雅黑"/>
        </w:rPr>
        <w:t>供应商开发，采购管理，供应商管理，成本管理，物流与仓储管理，运营管理以及项目管理，拥有丰富的理论知识以及丰富的实践经验</w:t>
      </w:r>
    </w:p>
    <w:p>
      <w:pPr>
        <w:pStyle w:val="8"/>
        <w:spacing w:line="340" w:lineRule="exact"/>
        <w:jc w:val="both"/>
        <w:rPr>
          <w:rFonts w:eastAsia="微软雅黑"/>
        </w:rPr>
      </w:pPr>
    </w:p>
    <w:p>
      <w:pPr>
        <w:pStyle w:val="8"/>
        <w:spacing w:line="340" w:lineRule="exact"/>
        <w:jc w:val="center"/>
        <w:rPr>
          <w:rFonts w:eastAsia="微软雅黑"/>
        </w:rPr>
      </w:pPr>
      <w:r>
        <w:rPr>
          <w:rFonts w:eastAsia="微软雅黑"/>
        </w:rPr>
        <w:t>-------------------------------------------------------------------------------------------------------------------</w:t>
      </w:r>
    </w:p>
    <w:p>
      <w:pPr>
        <w:spacing w:line="340" w:lineRule="exact"/>
        <w:jc w:val="center"/>
        <w:rPr>
          <w:rFonts w:eastAsia="微软雅黑"/>
          <w:sz w:val="44"/>
        </w:rPr>
      </w:pPr>
      <w:r>
        <w:rPr>
          <w:rFonts w:eastAsia="微软雅黑"/>
          <w:b/>
          <w:sz w:val="44"/>
        </w:rPr>
        <w:t xml:space="preserve">      </w:t>
      </w:r>
      <w:r>
        <w:rPr>
          <w:rFonts w:eastAsia="微软雅黑"/>
          <w:b/>
          <w:sz w:val="36"/>
        </w:rPr>
        <w:t>报 名 回 执</w:t>
      </w:r>
      <w:r>
        <w:rPr>
          <w:rFonts w:eastAsia="微软雅黑"/>
          <w:b/>
        </w:rPr>
        <w:t>（请务必于开课前7天回复）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37"/>
        <w:gridCol w:w="1562"/>
        <w:gridCol w:w="2047"/>
        <w:gridCol w:w="1449"/>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exact"/>
          <w:jc w:val="center"/>
        </w:trPr>
        <w:tc>
          <w:tcPr>
            <w:tcW w:w="1447" w:type="dxa"/>
            <w:noWrap w:val="0"/>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37" w:type="dxa"/>
            <w:noWrap w:val="0"/>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562" w:type="dxa"/>
            <w:noWrap w:val="0"/>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047" w:type="dxa"/>
            <w:noWrap w:val="0"/>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1449" w:type="dxa"/>
            <w:noWrap w:val="0"/>
            <w:vAlign w:val="center"/>
          </w:tcPr>
          <w:p>
            <w:pPr>
              <w:tabs>
                <w:tab w:val="left" w:pos="1080"/>
              </w:tabs>
              <w:spacing w:line="340" w:lineRule="exact"/>
              <w:jc w:val="center"/>
              <w:rPr>
                <w:rFonts w:eastAsia="微软雅黑"/>
                <w:b/>
                <w:kern w:val="10"/>
                <w:sz w:val="24"/>
              </w:rPr>
            </w:pPr>
            <w:r>
              <w:rPr>
                <w:rFonts w:eastAsia="微软雅黑"/>
                <w:b/>
                <w:kern w:val="10"/>
                <w:sz w:val="24"/>
              </w:rPr>
              <w:t>Tel</w:t>
            </w:r>
          </w:p>
        </w:tc>
        <w:tc>
          <w:tcPr>
            <w:tcW w:w="1449" w:type="dxa"/>
            <w:noWrap w:val="0"/>
            <w:vAlign w:val="center"/>
          </w:tcPr>
          <w:p>
            <w:pPr>
              <w:tabs>
                <w:tab w:val="left" w:pos="1080"/>
              </w:tabs>
              <w:spacing w:line="340" w:lineRule="exact"/>
              <w:jc w:val="center"/>
              <w:rPr>
                <w:rFonts w:eastAsia="微软雅黑"/>
                <w:b/>
                <w:kern w:val="10"/>
                <w:sz w:val="24"/>
              </w:rPr>
            </w:pPr>
            <w:r>
              <w:rPr>
                <w:rFonts w:eastAsia="微软雅黑"/>
                <w:b/>
                <w:kern w:val="10"/>
                <w:sz w:val="24"/>
              </w:rPr>
              <w:t>Fax</w:t>
            </w:r>
          </w:p>
        </w:tc>
        <w:tc>
          <w:tcPr>
            <w:tcW w:w="1449" w:type="dxa"/>
            <w:noWrap w:val="0"/>
            <w:vAlign w:val="center"/>
          </w:tcPr>
          <w:p>
            <w:pPr>
              <w:tabs>
                <w:tab w:val="left" w:pos="1080"/>
              </w:tabs>
              <w:spacing w:line="340" w:lineRule="exact"/>
              <w:jc w:val="center"/>
              <w:rPr>
                <w:rFonts w:eastAsia="微软雅黑"/>
                <w:b/>
                <w:kern w:val="10"/>
                <w:sz w:val="24"/>
              </w:rPr>
            </w:pPr>
            <w:r>
              <w:rPr>
                <w:rFonts w:eastAsia="微软雅黑"/>
                <w:b/>
                <w:kern w:val="10"/>
                <w:sz w:val="24"/>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447" w:type="dxa"/>
            <w:noWrap w:val="0"/>
            <w:vAlign w:val="top"/>
          </w:tcPr>
          <w:p>
            <w:pPr>
              <w:spacing w:line="340" w:lineRule="exact"/>
              <w:jc w:val="center"/>
              <w:rPr>
                <w:rFonts w:eastAsia="微软雅黑"/>
                <w:sz w:val="24"/>
              </w:rPr>
            </w:pPr>
          </w:p>
        </w:tc>
        <w:tc>
          <w:tcPr>
            <w:tcW w:w="737" w:type="dxa"/>
            <w:noWrap w:val="0"/>
            <w:vAlign w:val="top"/>
          </w:tcPr>
          <w:p>
            <w:pPr>
              <w:spacing w:line="340" w:lineRule="exact"/>
              <w:jc w:val="center"/>
              <w:rPr>
                <w:rFonts w:eastAsia="微软雅黑"/>
                <w:sz w:val="24"/>
              </w:rPr>
            </w:pPr>
          </w:p>
        </w:tc>
        <w:tc>
          <w:tcPr>
            <w:tcW w:w="1562" w:type="dxa"/>
            <w:noWrap w:val="0"/>
            <w:vAlign w:val="top"/>
          </w:tcPr>
          <w:p>
            <w:pPr>
              <w:spacing w:line="340" w:lineRule="exact"/>
              <w:jc w:val="center"/>
              <w:rPr>
                <w:rFonts w:eastAsia="微软雅黑"/>
                <w:sz w:val="24"/>
              </w:rPr>
            </w:pPr>
          </w:p>
        </w:tc>
        <w:tc>
          <w:tcPr>
            <w:tcW w:w="2047"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447" w:type="dxa"/>
            <w:noWrap w:val="0"/>
            <w:vAlign w:val="top"/>
          </w:tcPr>
          <w:p>
            <w:pPr>
              <w:spacing w:line="340" w:lineRule="exact"/>
              <w:jc w:val="center"/>
              <w:rPr>
                <w:rFonts w:eastAsia="微软雅黑"/>
                <w:sz w:val="24"/>
              </w:rPr>
            </w:pPr>
          </w:p>
        </w:tc>
        <w:tc>
          <w:tcPr>
            <w:tcW w:w="737" w:type="dxa"/>
            <w:noWrap w:val="0"/>
            <w:vAlign w:val="top"/>
          </w:tcPr>
          <w:p>
            <w:pPr>
              <w:spacing w:line="340" w:lineRule="exact"/>
              <w:jc w:val="center"/>
              <w:rPr>
                <w:rFonts w:eastAsia="微软雅黑"/>
                <w:sz w:val="24"/>
              </w:rPr>
            </w:pPr>
          </w:p>
        </w:tc>
        <w:tc>
          <w:tcPr>
            <w:tcW w:w="1562" w:type="dxa"/>
            <w:noWrap w:val="0"/>
            <w:vAlign w:val="top"/>
          </w:tcPr>
          <w:p>
            <w:pPr>
              <w:spacing w:line="340" w:lineRule="exact"/>
              <w:jc w:val="center"/>
              <w:rPr>
                <w:rFonts w:eastAsia="微软雅黑"/>
                <w:sz w:val="24"/>
              </w:rPr>
            </w:pPr>
          </w:p>
        </w:tc>
        <w:tc>
          <w:tcPr>
            <w:tcW w:w="2047"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447" w:type="dxa"/>
            <w:noWrap w:val="0"/>
            <w:vAlign w:val="top"/>
          </w:tcPr>
          <w:p>
            <w:pPr>
              <w:spacing w:line="340" w:lineRule="exact"/>
              <w:jc w:val="center"/>
              <w:rPr>
                <w:rFonts w:eastAsia="微软雅黑"/>
                <w:sz w:val="24"/>
              </w:rPr>
            </w:pPr>
          </w:p>
        </w:tc>
        <w:tc>
          <w:tcPr>
            <w:tcW w:w="737" w:type="dxa"/>
            <w:noWrap w:val="0"/>
            <w:vAlign w:val="top"/>
          </w:tcPr>
          <w:p>
            <w:pPr>
              <w:spacing w:line="340" w:lineRule="exact"/>
              <w:jc w:val="center"/>
              <w:rPr>
                <w:rFonts w:eastAsia="微软雅黑"/>
                <w:sz w:val="24"/>
              </w:rPr>
            </w:pPr>
          </w:p>
        </w:tc>
        <w:tc>
          <w:tcPr>
            <w:tcW w:w="1562" w:type="dxa"/>
            <w:noWrap w:val="0"/>
            <w:vAlign w:val="top"/>
          </w:tcPr>
          <w:p>
            <w:pPr>
              <w:spacing w:line="340" w:lineRule="exact"/>
              <w:jc w:val="center"/>
              <w:rPr>
                <w:rFonts w:eastAsia="微软雅黑"/>
                <w:sz w:val="24"/>
              </w:rPr>
            </w:pPr>
          </w:p>
        </w:tc>
        <w:tc>
          <w:tcPr>
            <w:tcW w:w="2047"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c>
          <w:tcPr>
            <w:tcW w:w="1449" w:type="dxa"/>
            <w:noWrap w:val="0"/>
            <w:vAlign w:val="top"/>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3746" w:type="dxa"/>
            <w:gridSpan w:val="3"/>
            <w:noWrap w:val="0"/>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3496" w:type="dxa"/>
            <w:gridSpan w:val="2"/>
            <w:noWrap w:val="0"/>
            <w:vAlign w:val="center"/>
          </w:tcPr>
          <w:p>
            <w:pPr>
              <w:tabs>
                <w:tab w:val="left" w:pos="1080"/>
              </w:tabs>
              <w:spacing w:line="340" w:lineRule="exact"/>
              <w:rPr>
                <w:rFonts w:eastAsia="微软雅黑"/>
                <w:b/>
                <w:kern w:val="10"/>
                <w:sz w:val="24"/>
              </w:rPr>
            </w:pPr>
            <w:r>
              <w:rPr>
                <w:rFonts w:eastAsia="微软雅黑"/>
                <w:b/>
                <w:kern w:val="10"/>
                <w:sz w:val="24"/>
              </w:rPr>
              <w:t>公司名称：</w:t>
            </w:r>
          </w:p>
        </w:tc>
        <w:tc>
          <w:tcPr>
            <w:tcW w:w="2898" w:type="dxa"/>
            <w:gridSpan w:val="2"/>
            <w:noWrap w:val="0"/>
            <w:vAlign w:val="center"/>
          </w:tcPr>
          <w:p>
            <w:pPr>
              <w:tabs>
                <w:tab w:val="left" w:pos="1080"/>
              </w:tabs>
              <w:spacing w:line="340" w:lineRule="exact"/>
              <w:rPr>
                <w:rFonts w:eastAsia="微软雅黑"/>
                <w:b/>
                <w:kern w:val="10"/>
                <w:sz w:val="24"/>
              </w:rPr>
            </w:pPr>
            <w:r>
              <w:rPr>
                <w:rFonts w:eastAsia="微软雅黑"/>
                <w:b/>
                <w:kern w:val="10"/>
                <w:sz w:val="24"/>
              </w:rPr>
              <w:t>公司地址：</w:t>
            </w:r>
          </w:p>
        </w:tc>
      </w:tr>
    </w:tbl>
    <w:p>
      <w:pPr>
        <w:shd w:val="solid" w:color="FFFFFF" w:fill="auto"/>
        <w:autoSpaceDN w:val="0"/>
        <w:spacing w:line="340" w:lineRule="exact"/>
        <w:jc w:val="center"/>
        <w:textAlignment w:val="baseline"/>
      </w:pPr>
      <w:r>
        <w:rPr>
          <w:rFonts w:eastAsia="微软雅黑"/>
          <w:b/>
          <w:sz w:val="24"/>
        </w:rPr>
        <w:t xml:space="preserve">★缴费方式： </w:t>
      </w:r>
      <w:r>
        <w:rPr>
          <w:rFonts w:eastAsia="微软雅黑"/>
          <w:b/>
          <w:sz w:val="24"/>
        </w:rPr>
        <w:sym w:font="Wingdings" w:char="F06F"/>
      </w:r>
      <w:r>
        <w:rPr>
          <w:rFonts w:eastAsia="微软雅黑"/>
          <w:b/>
          <w:sz w:val="24"/>
        </w:rPr>
        <w:t xml:space="preserve"> 支票</w:t>
      </w:r>
      <w:r>
        <w:rPr>
          <w:rFonts w:eastAsia="微软雅黑"/>
          <w:b/>
          <w:sz w:val="24"/>
        </w:rPr>
        <w:tab/>
      </w:r>
      <w:r>
        <w:rPr>
          <w:rFonts w:eastAsia="微软雅黑"/>
          <w:b/>
          <w:sz w:val="24"/>
        </w:rPr>
        <w:t xml:space="preserve">  </w:t>
      </w:r>
      <w:r>
        <w:rPr>
          <w:rFonts w:eastAsia="微软雅黑"/>
          <w:b/>
          <w:sz w:val="24"/>
        </w:rPr>
        <w:sym w:font="Wingdings" w:char="F06F"/>
      </w:r>
      <w:r>
        <w:rPr>
          <w:rFonts w:eastAsia="微软雅黑"/>
          <w:b/>
          <w:sz w:val="24"/>
        </w:rPr>
        <w:t xml:space="preserve"> 现场缴费   </w:t>
      </w:r>
      <w:r>
        <w:rPr>
          <w:rFonts w:eastAsia="微软雅黑"/>
          <w:b/>
          <w:sz w:val="24"/>
        </w:rPr>
        <w:sym w:font="Wingdings" w:char="F06F"/>
      </w:r>
      <w:r>
        <w:rPr>
          <w:rFonts w:eastAsia="微软雅黑"/>
          <w:b/>
          <w:sz w:val="24"/>
        </w:rPr>
        <w:t xml:space="preserve"> 汇款（汇款后请将汇款单据传真至本公司）</w:t>
      </w:r>
    </w:p>
    <w:sectPr>
      <w:footerReference r:id="rId3" w:type="default"/>
      <w:pgSz w:w="11906" w:h="16838"/>
      <w:pgMar w:top="873" w:right="1349" w:bottom="873" w:left="1349" w:header="851" w:footer="90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8EB7F"/>
    <w:multiLevelType w:val="singleLevel"/>
    <w:tmpl w:val="93E8EB7F"/>
    <w:lvl w:ilvl="0" w:tentative="0">
      <w:start w:val="1"/>
      <w:numFmt w:val="bullet"/>
      <w:lvlText w:val=""/>
      <w:lvlJc w:val="left"/>
      <w:pPr>
        <w:ind w:left="420" w:hanging="420"/>
      </w:pPr>
      <w:rPr>
        <w:rFonts w:hint="default" w:ascii="Wingdings" w:hAnsi="Wingdings"/>
      </w:rPr>
    </w:lvl>
  </w:abstractNum>
  <w:abstractNum w:abstractNumId="1">
    <w:nsid w:val="098735AC"/>
    <w:multiLevelType w:val="multilevel"/>
    <w:tmpl w:val="098735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A300117"/>
    <w:multiLevelType w:val="multilevel"/>
    <w:tmpl w:val="0A300117"/>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3B089F"/>
    <w:multiLevelType w:val="multilevel"/>
    <w:tmpl w:val="0B3B089F"/>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B55933"/>
    <w:multiLevelType w:val="multilevel"/>
    <w:tmpl w:val="0EB55933"/>
    <w:lvl w:ilvl="0" w:tentative="0">
      <w:start w:val="1"/>
      <w:numFmt w:val="decimal"/>
      <w:lvlText w:val="%1."/>
      <w:lvlJc w:val="left"/>
      <w:pPr>
        <w:ind w:left="425" w:hanging="425"/>
      </w:pPr>
      <w:rPr>
        <w:rFonts w:hint="default"/>
        <w:color w:val="auto"/>
      </w:rPr>
    </w:lvl>
    <w:lvl w:ilvl="1" w:tentative="0">
      <w:start w:val="1"/>
      <w:numFmt w:val="decimal"/>
      <w:lvlText w:val="%1.%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1496014"/>
    <w:multiLevelType w:val="multilevel"/>
    <w:tmpl w:val="11496014"/>
    <w:lvl w:ilvl="0" w:tentative="0">
      <w:start w:val="1"/>
      <w:numFmt w:val="decimal"/>
      <w:lvlText w:val="%1."/>
      <w:lvlJc w:val="left"/>
      <w:pPr>
        <w:ind w:left="425" w:hanging="425"/>
      </w:pPr>
      <w:rPr>
        <w:rFonts w:hint="default"/>
        <w:color w:val="auto"/>
      </w:rPr>
    </w:lvl>
    <w:lvl w:ilvl="1" w:tentative="0">
      <w:start w:val="1"/>
      <w:numFmt w:val="decimal"/>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B750B4F"/>
    <w:multiLevelType w:val="multilevel"/>
    <w:tmpl w:val="1B750B4F"/>
    <w:lvl w:ilvl="0" w:tentative="0">
      <w:start w:val="1"/>
      <w:numFmt w:val="decimal"/>
      <w:lvlText w:val="%1."/>
      <w:lvlJc w:val="left"/>
      <w:pPr>
        <w:ind w:left="425" w:hanging="425"/>
      </w:pPr>
      <w:rPr>
        <w:rFonts w:hint="default"/>
        <w:color w:val="auto"/>
      </w:rPr>
    </w:lvl>
    <w:lvl w:ilvl="1" w:tentative="0">
      <w:start w:val="1"/>
      <w:numFmt w:val="decimal"/>
      <w:lvlText w:val="%1.%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D1C70D0"/>
    <w:multiLevelType w:val="multilevel"/>
    <w:tmpl w:val="1D1C70D0"/>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D9D257A"/>
    <w:multiLevelType w:val="multilevel"/>
    <w:tmpl w:val="2D9D257A"/>
    <w:lvl w:ilvl="0" w:tentative="0">
      <w:start w:val="1"/>
      <w:numFmt w:val="decimal"/>
      <w:lvlText w:val="%1)"/>
      <w:lvlJc w:val="left"/>
      <w:pPr>
        <w:ind w:left="425" w:hanging="425"/>
      </w:pPr>
      <w:rPr>
        <w:rFonts w:hint="default"/>
        <w:b w:val="0"/>
        <w:color w:val="auto"/>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498ED5B"/>
    <w:multiLevelType w:val="singleLevel"/>
    <w:tmpl w:val="4498ED5B"/>
    <w:lvl w:ilvl="0" w:tentative="0">
      <w:start w:val="1"/>
      <w:numFmt w:val="bullet"/>
      <w:lvlText w:val=""/>
      <w:lvlJc w:val="left"/>
      <w:pPr>
        <w:ind w:left="420" w:hanging="420"/>
      </w:pPr>
      <w:rPr>
        <w:rFonts w:hint="default" w:ascii="Wingdings" w:hAnsi="Wingdings"/>
      </w:rPr>
    </w:lvl>
  </w:abstractNum>
  <w:abstractNum w:abstractNumId="10">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B6D342E"/>
    <w:multiLevelType w:val="multilevel"/>
    <w:tmpl w:val="5B6D342E"/>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0DF1F85"/>
    <w:multiLevelType w:val="multilevel"/>
    <w:tmpl w:val="60DF1F85"/>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15416C9"/>
    <w:multiLevelType w:val="multilevel"/>
    <w:tmpl w:val="615416C9"/>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15C57C4"/>
    <w:multiLevelType w:val="multilevel"/>
    <w:tmpl w:val="615C57C4"/>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1C76B5E"/>
    <w:multiLevelType w:val="multilevel"/>
    <w:tmpl w:val="61C76B5E"/>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16">
    <w:nsid w:val="69CD1C03"/>
    <w:multiLevelType w:val="multilevel"/>
    <w:tmpl w:val="69CD1C03"/>
    <w:lvl w:ilvl="0" w:tentative="0">
      <w:start w:val="1"/>
      <w:numFmt w:val="decimal"/>
      <w:lvlText w:val="%1."/>
      <w:lvlJc w:val="left"/>
      <w:pPr>
        <w:ind w:left="425" w:hanging="425"/>
      </w:pPr>
      <w:rPr>
        <w:rFonts w:hint="default"/>
        <w:color w:val="auto"/>
      </w:rPr>
    </w:lvl>
    <w:lvl w:ilvl="1" w:tentative="0">
      <w:start w:val="1"/>
      <w:numFmt w:val="decimal"/>
      <w:lvlText w:val="%1.%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6F4E4E82"/>
    <w:multiLevelType w:val="multilevel"/>
    <w:tmpl w:val="6F4E4E82"/>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B1364B4"/>
    <w:multiLevelType w:val="multilevel"/>
    <w:tmpl w:val="7B1364B4"/>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D9060B9"/>
    <w:multiLevelType w:val="multilevel"/>
    <w:tmpl w:val="7D9060B9"/>
    <w:lvl w:ilvl="0" w:tentative="0">
      <w:start w:val="1"/>
      <w:numFmt w:val="chineseCountingThousand"/>
      <w:lvlText w:val="%1、"/>
      <w:lvlJc w:val="left"/>
      <w:pPr>
        <w:ind w:left="673" w:hanging="390"/>
      </w:pPr>
      <w:rPr>
        <w:rFonts w:hint="default"/>
      </w:rPr>
    </w:lvl>
    <w:lvl w:ilvl="1" w:tentative="0">
      <w:start w:val="1"/>
      <w:numFmt w:val="decimal"/>
      <w:lvlText w:val="%2、"/>
      <w:lvlJc w:val="left"/>
      <w:pPr>
        <w:ind w:left="1063" w:hanging="360"/>
      </w:pPr>
      <w:rPr>
        <w:rFonts w:hint="default"/>
      </w:r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num w:numId="1">
    <w:abstractNumId w:val="10"/>
  </w:num>
  <w:num w:numId="2">
    <w:abstractNumId w:val="9"/>
  </w:num>
  <w:num w:numId="3">
    <w:abstractNumId w:val="15"/>
  </w:num>
  <w:num w:numId="4">
    <w:abstractNumId w:val="19"/>
  </w:num>
  <w:num w:numId="5">
    <w:abstractNumId w:val="16"/>
  </w:num>
  <w:num w:numId="6">
    <w:abstractNumId w:val="14"/>
  </w:num>
  <w:num w:numId="7">
    <w:abstractNumId w:val="8"/>
  </w:num>
  <w:num w:numId="8">
    <w:abstractNumId w:val="6"/>
  </w:num>
  <w:num w:numId="9">
    <w:abstractNumId w:val="7"/>
  </w:num>
  <w:num w:numId="10">
    <w:abstractNumId w:val="13"/>
  </w:num>
  <w:num w:numId="11">
    <w:abstractNumId w:val="4"/>
  </w:num>
  <w:num w:numId="12">
    <w:abstractNumId w:val="12"/>
  </w:num>
  <w:num w:numId="13">
    <w:abstractNumId w:val="0"/>
  </w:num>
  <w:num w:numId="14">
    <w:abstractNumId w:val="17"/>
  </w:num>
  <w:num w:numId="15">
    <w:abstractNumId w:val="18"/>
  </w:num>
  <w:num w:numId="16">
    <w:abstractNumId w:val="5"/>
  </w:num>
  <w:num w:numId="17">
    <w:abstractNumId w:val="3"/>
  </w:num>
  <w:num w:numId="18">
    <w:abstractNumId w:val="11"/>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16C8F"/>
    <w:rsid w:val="5021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99"/>
    <w:pPr>
      <w:widowControl/>
      <w:spacing w:before="100" w:beforeLines="0" w:beforeAutospacing="1" w:after="100" w:afterLines="0" w:afterAutospacing="1"/>
      <w:jc w:val="left"/>
    </w:pPr>
    <w:rPr>
      <w:rFonts w:ascii="Arial Unicode MS" w:hAnsi="Arial Unicode MS" w:eastAsia="Arial Unicode MS"/>
      <w:kern w:val="0"/>
      <w:sz w:val="24"/>
      <w:lang w:eastAsia="en-US"/>
    </w:rPr>
  </w:style>
  <w:style w:type="character" w:styleId="7">
    <w:name w:val="Hyperlink"/>
    <w:qFormat/>
    <w:uiPriority w:val="0"/>
    <w:rPr>
      <w:color w:val="0000FF"/>
      <w:u w:val="single"/>
    </w:rPr>
  </w:style>
  <w:style w:type="paragraph" w:customStyle="1" w:styleId="8">
    <w:name w:val="Normal_2"/>
    <w:basedOn w:val="1"/>
    <w:uiPriority w:val="0"/>
    <w:pPr>
      <w:spacing w:line="360" w:lineRule="exact"/>
    </w:pPr>
    <w:rPr>
      <w:sz w:val="24"/>
    </w:rPr>
  </w:style>
  <w:style w:type="paragraph" w:styleId="9">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2021-03-11T10:05:00Z</dcterms:created>
  <dc:creator>强思企管婷婷（渠道报单）</dc:creator>
  <cp:lastModifiedBy>强思企管婷婷（渠道报单）</cp:lastModifiedBy>
  <dcterms:modified xsi:type="dcterms:W3CDTF">2021-03-11T10:12:41Z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