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/>
          <w:i w:val="0"/>
          <w:iCs w:val="0"/>
          <w:color w:val="943734"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10301605</wp:posOffset>
                </wp:positionV>
                <wp:extent cx="2446655" cy="29654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3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预约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官网：www.timesmba.com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eastAsia="华康雅宋体W9" w:cs="Arial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55pt;margin-top:811.15pt;height:23.35pt;width:192.65pt;z-index:251661312;mso-width-relative:page;mso-height-relative:page;" filled="f" stroked="f" coordsize="21600,21600" o:gfxdata="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O3q3/ZAAAADgEAAA8AAAAAAAAAAQAgAAAAIgAA&#10;AGRycy9kb3ducmV2LnhtbFBLAQIUABQAAAAIAIdO4kBCUFONzgEAAIgDAAAOAAAAAAAAAAEAIAAA&#10;ACgBAABkcnMvZTJvRG9jLnhtbFBLBQYAAAAABgAGAFkBAABo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pBdr>
                          <w:bottom w:val="none" w:color="auto" w:sz="0" w:space="0"/>
                        </w:pBdr>
                        <w:jc w:val="both"/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3"/>
                        <w:pBdr>
                          <w:bottom w:val="none" w:color="auto" w:sz="0" w:space="0"/>
                        </w:pBdr>
                        <w:jc w:val="both"/>
                        <w:rPr>
                          <w:b/>
                          <w:sz w:val="24"/>
                          <w:szCs w:val="24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预约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官网：www.timesmba.com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eastAsia="华康雅宋体W9" w:cs="Arial"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公司，诚邀贵单位参与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《用股权激励打造企业铁军》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课程！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  <w:lang w:eastAsia="zh-CN"/>
        </w:rPr>
        <w:t>《用股权激励打造企业铁军》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zh-CN" w:eastAsia="zh-CN"/>
        </w:rPr>
        <w:t>【课程时间】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2021年6月26-27日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zh-CN" w:eastAsia="zh-CN"/>
        </w:rPr>
        <w:t>【课程地点】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广州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zh-CN"/>
        </w:rPr>
        <w:t>【培训对象】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  <w:t>董事长、总裁、总经理、决策层高管、首席执行官、等参与公司战略制定的高层领导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课程费用】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48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00元/人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，费用包含：学费、资料费、休闲点心及其它服务费，交通和食宿费用自理。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【报名咨询】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艾老师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13924220993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主讲老师：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陶老师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0" w:right="0" w:rightChars="0" w:hanging="420" w:firstLineChars="0"/>
        <w:textAlignment w:val="auto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189865</wp:posOffset>
            </wp:positionV>
            <wp:extent cx="919480" cy="1173480"/>
            <wp:effectExtent l="0" t="0" r="13970" b="7620"/>
            <wp:wrapNone/>
            <wp:docPr id="5" name="图片 5" descr="微信图片_2020052112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521120138"/>
                    <pic:cNvPicPr>
                      <a:picLocks noChangeAspect="1"/>
                    </pic:cNvPicPr>
                  </pic:nvPicPr>
                  <pic:blipFill>
                    <a:blip r:embed="rId6"/>
                    <a:srcRect b="14996"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  <w:t>富陶林咨询 创始人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0" w:right="0" w:rightChars="0" w:hanging="420" w:firstLineChars="0"/>
        <w:textAlignment w:val="auto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  <w:t>清华大学 EMBA特聘教授/中山大学 EMBA特聘教授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0" w:right="0" w:rightChars="0" w:hanging="420" w:firstLineChars="0"/>
        <w:textAlignment w:val="auto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  <w:t>股权设计及激励方案落地专家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0" w:right="0" w:rightChars="0" w:hanging="420" w:firstLineChars="0"/>
        <w:textAlignment w:val="auto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  <w:t>绩效管控与创新薪酬学科带头人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textAlignment w:val="auto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  <w:t>【擅长领域】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440" w:firstLineChars="200"/>
        <w:textAlignment w:val="auto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  <w:t>民营企业股权设计及运用、企业成长整体解決模式咨询、员工发展整体解决模式咨询成长型企业股权问题整体解決、股权设计及激励方案落地、合伙人三大机制与产业集群实战、专攻亿级民营企业的深度咨询。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40" w:firstLineChars="200"/>
        <w:textAlignment w:val="auto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color w:val="C00000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课程简介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440" w:firstLineChars="200"/>
        <w:textAlignment w:val="auto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  <w:t>一个有实操价值的股权设计与激励方案，不仅深深影响企业全年的经营活动，而且对生产、财务、研发、人力资源等都具有指导意义。但在现阶段的中国，很多人对股权激励的了解并不充分，认为股权激励是大企业才需要的，或者陷入股权激励的误区当中。本课程将带你深入了解为什么企业要运用股权激励，股权激励怎么操作，股权激励有哪些死穴需要避免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40" w:firstLineChars="200"/>
        <w:textAlignment w:val="auto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课程大纲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一、为什么要学习和运用股权激励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二、股权的两大作用及操作方法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企业对资金的需要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 w:firstLineChars="30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（1）融资的目的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 w:firstLineChars="30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（2）融资的方式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80" w:firstLineChars="40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1）债权融资、2）政策融资、3）股权融资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2、股权与人才如何结合？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 w:firstLineChars="30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（1）雇佣关系的整改方向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 w:firstLineChars="30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（2）合作关系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 w:firstLineChars="30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（3）雇佣与合伙结合的关系（半合伙）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3、股权激励对企业的价值和作用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三、股权激励必须规避的死穴和解决方案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  <w:t xml:space="preserve"> 案例1：股权激励死穴及解穴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1、死穴一：股权激励目的不清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2、死穴二：激励奖励 本质混淆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3、死穴三：激励次序 本末倒置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4、死穴四：激励有余 约束不足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5、死穴五：股份额度 有失公允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6、死穴六：未经出资 股份贬值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  <w:t xml:space="preserve"> 案例2：某科技有限公司融资案例解析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7、死穴七：股权思维 短浅固化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  <w:t>案例3：某公司股权案例解析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8、死穴八：股权分配 力资纠纷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  <w:t>案例3：某食品厂股权激励案例解析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9、死穴九：股权激励 以点求面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10、死穴十：股权布局 层次单一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540" w:leftChars="0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-1096010</wp:posOffset>
              </wp:positionH>
              <wp:positionV relativeFrom="paragraph">
                <wp:posOffset>569595</wp:posOffset>
              </wp:positionV>
              <wp:extent cx="7362825" cy="133350"/>
              <wp:effectExtent l="0" t="0" r="9525" b="0"/>
              <wp:wrapNone/>
              <wp:docPr id="1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282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-86.3pt;margin-top:44.85pt;height:10.5pt;width:579.75pt;z-index:251660288;mso-width-relative:page;mso-height-relative:page;" fillcolor="#FFFFFF" filled="t" stroked="f" coordsize="21600,21600" o:gfxdata="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KnksDYAAAACwEAAA8AAAAAAAAAAQAgAAAAIgAAAGRycy9kb3ducmV2LnhtbFBL&#10;AQIUABQAAAAIAIdO4kBiVibsvQEAAIQDAAAOAAAAAAAAAAEAIAAAACcBAABkcnMvZTJvRG9jLnht&#10;bFBLBQYAAAAABgAGAFkBAABWBQAAAAA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/>
      <w:ind w:right="840" w:rightChars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D6C05"/>
    <w:multiLevelType w:val="singleLevel"/>
    <w:tmpl w:val="177D6C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3774980"/>
    <w:multiLevelType w:val="singleLevel"/>
    <w:tmpl w:val="5377498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3D"/>
    <w:rsid w:val="002733C4"/>
    <w:rsid w:val="00347A5F"/>
    <w:rsid w:val="00427DA2"/>
    <w:rsid w:val="004B483D"/>
    <w:rsid w:val="006F7178"/>
    <w:rsid w:val="007B68B9"/>
    <w:rsid w:val="00821727"/>
    <w:rsid w:val="00A628C7"/>
    <w:rsid w:val="00B545A7"/>
    <w:rsid w:val="00D056E5"/>
    <w:rsid w:val="00D15FD7"/>
    <w:rsid w:val="00DD79C4"/>
    <w:rsid w:val="00EB7374"/>
    <w:rsid w:val="00F6060F"/>
    <w:rsid w:val="00FE0E7A"/>
    <w:rsid w:val="01331E45"/>
    <w:rsid w:val="04D86B85"/>
    <w:rsid w:val="06B92A55"/>
    <w:rsid w:val="09C05201"/>
    <w:rsid w:val="105000F8"/>
    <w:rsid w:val="17F80E55"/>
    <w:rsid w:val="184123F5"/>
    <w:rsid w:val="1C7625D7"/>
    <w:rsid w:val="1D135508"/>
    <w:rsid w:val="209A1C7D"/>
    <w:rsid w:val="21E428DD"/>
    <w:rsid w:val="227524EF"/>
    <w:rsid w:val="22D500E5"/>
    <w:rsid w:val="25CD7544"/>
    <w:rsid w:val="278F6E0F"/>
    <w:rsid w:val="298B645C"/>
    <w:rsid w:val="29DF7D9F"/>
    <w:rsid w:val="2AA11D08"/>
    <w:rsid w:val="307820FC"/>
    <w:rsid w:val="3189247C"/>
    <w:rsid w:val="34CE0818"/>
    <w:rsid w:val="36200539"/>
    <w:rsid w:val="36AE6896"/>
    <w:rsid w:val="36D0311B"/>
    <w:rsid w:val="384F5916"/>
    <w:rsid w:val="3BDC1717"/>
    <w:rsid w:val="3D7258BB"/>
    <w:rsid w:val="3F4C41CF"/>
    <w:rsid w:val="403606D8"/>
    <w:rsid w:val="40F97E82"/>
    <w:rsid w:val="411E1D16"/>
    <w:rsid w:val="42D7276E"/>
    <w:rsid w:val="4576741A"/>
    <w:rsid w:val="4752397E"/>
    <w:rsid w:val="47F43D91"/>
    <w:rsid w:val="49451AB7"/>
    <w:rsid w:val="4A2F0D69"/>
    <w:rsid w:val="4BF92305"/>
    <w:rsid w:val="4F5B1CEF"/>
    <w:rsid w:val="515C3FAB"/>
    <w:rsid w:val="52A9707A"/>
    <w:rsid w:val="53927D4F"/>
    <w:rsid w:val="54D070A6"/>
    <w:rsid w:val="54DF6215"/>
    <w:rsid w:val="570F49B8"/>
    <w:rsid w:val="585A2C46"/>
    <w:rsid w:val="5B0054B0"/>
    <w:rsid w:val="5BAD7E2E"/>
    <w:rsid w:val="5DD27029"/>
    <w:rsid w:val="5DDA38BC"/>
    <w:rsid w:val="63C9195C"/>
    <w:rsid w:val="69FD5CBD"/>
    <w:rsid w:val="6AC15C9A"/>
    <w:rsid w:val="6CA12D2D"/>
    <w:rsid w:val="6D6D1AD4"/>
    <w:rsid w:val="6FF6506D"/>
    <w:rsid w:val="70922E85"/>
    <w:rsid w:val="70C15810"/>
    <w:rsid w:val="76F411C3"/>
    <w:rsid w:val="7F873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114</Words>
  <Characters>654</Characters>
  <Lines>5</Lines>
  <Paragraphs>1</Paragraphs>
  <TotalTime>1</TotalTime>
  <ScaleCrop>false</ScaleCrop>
  <LinksUpToDate>false</LinksUpToDate>
  <CharactersWithSpaces>767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杜建婷</dc:creator>
  <cp:lastModifiedBy>时代华商渠道部李嘉敏</cp:lastModifiedBy>
  <dcterms:modified xsi:type="dcterms:W3CDTF">2021-05-12T07:31:13Z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2BC02B0F6ACF435D92D35DCE1F9399A7</vt:lpwstr>
  </property>
</Properties>
</file>