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adjustRightInd w:val="0"/>
        <w:snapToGrid w:val="0"/>
        <w:spacing w:before="0" w:after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薪酬教练——手把手教你做薪酬</w:t>
      </w:r>
    </w:p>
    <w:p>
      <w:pPr>
        <w:pStyle w:val="5"/>
        <w:adjustRightInd w:val="0"/>
        <w:snapToGrid w:val="0"/>
        <w:spacing w:before="0" w:after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Compensation &amp; Benefits Structuring and Management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广州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 xml:space="preserve"> 2021年6月25-26日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费用：5280元/人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adjustRightInd w:val="0"/>
        <w:snapToGrid w:val="0"/>
        <w:spacing w:before="0" w:after="0" w:line="240" w:lineRule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背景介绍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在内部预算控制和外部高薪竞争</w:t>
      </w:r>
      <w:r>
        <w:rPr>
          <w:rFonts w:hint="eastAsia" w:ascii="微软雅黑" w:hAnsi="微软雅黑" w:eastAsia="微软雅黑" w:cs="微软雅黑"/>
          <w:sz w:val="18"/>
          <w:szCs w:val="18"/>
        </w:rPr>
        <w:t>的双重压力下，</w:t>
      </w:r>
      <w:r>
        <w:rPr>
          <w:rFonts w:hint="eastAsia" w:ascii="微软雅黑" w:hAnsi="微软雅黑" w:eastAsia="微软雅黑" w:cs="微软雅黑"/>
          <w:sz w:val="18"/>
          <w:szCs w:val="18"/>
        </w:rPr>
        <w:t>如何通过合理的薪酬管理，吸引人才且激励员工，是企业管理者和HR</w:t>
      </w:r>
      <w:r>
        <w:rPr>
          <w:rFonts w:hint="eastAsia" w:ascii="微软雅黑" w:hAnsi="微软雅黑" w:eastAsia="微软雅黑" w:cs="微软雅黑"/>
          <w:sz w:val="18"/>
          <w:szCs w:val="18"/>
        </w:rPr>
        <w:t>对人才管理的关注重点。然而不难发现的是，员工对现行薪酬管理的抱怨不绝于耳，同时，</w:t>
      </w:r>
      <w:r>
        <w:rPr>
          <w:rFonts w:hint="eastAsia" w:ascii="微软雅黑" w:hAnsi="微软雅黑" w:eastAsia="微软雅黑" w:cs="微软雅黑"/>
          <w:sz w:val="18"/>
          <w:szCs w:val="18"/>
        </w:rPr>
        <w:t>核心人才流失、新老员工薪酬倒挂等问题也层出不穷。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薪酬管理</w:t>
      </w:r>
      <w:r>
        <w:rPr>
          <w:rFonts w:hint="eastAsia" w:ascii="微软雅黑" w:hAnsi="微软雅黑" w:eastAsia="微软雅黑" w:cs="微软雅黑"/>
          <w:sz w:val="18"/>
          <w:szCs w:val="18"/>
        </w:rPr>
        <w:t>为</w:t>
      </w:r>
      <w:r>
        <w:rPr>
          <w:rFonts w:hint="eastAsia" w:ascii="微软雅黑" w:hAnsi="微软雅黑" w:eastAsia="微软雅黑" w:cs="微软雅黑"/>
          <w:sz w:val="18"/>
          <w:szCs w:val="18"/>
        </w:rPr>
        <w:t>何需要与企业战略规划相匹配？</w:t>
      </w:r>
      <w:r>
        <w:rPr>
          <w:rFonts w:hint="eastAsia" w:ascii="微软雅黑" w:hAnsi="微软雅黑" w:eastAsia="微软雅黑" w:cs="微软雅黑"/>
          <w:sz w:val="18"/>
          <w:szCs w:val="18"/>
        </w:rPr>
        <w:t>如何构建公平有效的薪酬激励体系</w:t>
      </w:r>
      <w:r>
        <w:rPr>
          <w:rFonts w:hint="eastAsia" w:ascii="微软雅黑" w:hAnsi="微软雅黑" w:eastAsia="微软雅黑" w:cs="微软雅黑"/>
          <w:sz w:val="18"/>
          <w:szCs w:val="18"/>
        </w:rPr>
        <w:t>？如何运用科学的方法及工具完善现行的薪酬管理制度？针对销售团队、研发团队及高管等不同体系的员工，又该如何设计不同的薪酬激励方案？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本次课程将分为理念篇、工具篇、专案篇三大部分，将理论与实践相结合，运用科学方法及工具，手把手教你解决薪酬设计中的各种棘手难题。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adjustRightInd w:val="0"/>
        <w:snapToGrid w:val="0"/>
        <w:spacing w:before="0" w:after="0" w:line="240" w:lineRule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课程收获</w:t>
      </w:r>
    </w:p>
    <w:p>
      <w:pPr>
        <w:adjustRightInd w:val="0"/>
        <w:snapToGrid w:val="0"/>
        <w:ind w:left="210" w:leftChars="100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一系列薪酬管理的前沿理念和案例演练</w:t>
      </w:r>
    </w:p>
    <w:p>
      <w:pPr>
        <w:adjustRightInd w:val="0"/>
        <w:snapToGrid w:val="0"/>
        <w:ind w:left="210" w:left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薪酬专家总结提炼10余年行业客户服务经验及方法论，精心开发的2天薪酬设计实战课程，包含丰富的实践案例。</w:t>
      </w:r>
    </w:p>
    <w:p>
      <w:pPr>
        <w:adjustRightInd w:val="0"/>
        <w:snapToGrid w:val="0"/>
        <w:ind w:left="210" w:leftChars="10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adjustRightInd w:val="0"/>
        <w:snapToGrid w:val="0"/>
        <w:ind w:left="210" w:leftChars="100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一套科学搭建薪酬体系的必备技能及实用工具</w:t>
      </w:r>
    </w:p>
    <w:p>
      <w:pPr>
        <w:adjustRightInd w:val="0"/>
        <w:snapToGrid w:val="0"/>
        <w:ind w:left="210" w:left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帮助学员快速掌握完整自建薪酬体系的方法和工具（含薪酬报告的应用），随课程赠送岗位价值评估工具、宽带薪酬体系搭建工具。</w:t>
      </w:r>
    </w:p>
    <w:p>
      <w:pPr>
        <w:adjustRightInd w:val="0"/>
        <w:snapToGrid w:val="0"/>
        <w:ind w:left="210" w:leftChars="10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adjustRightInd w:val="0"/>
        <w:snapToGrid w:val="0"/>
        <w:spacing w:before="0" w:after="0" w:line="240" w:lineRule="auto"/>
        <w:rPr>
          <w:rFonts w:hint="eastAsia" w:ascii="微软雅黑" w:hAnsi="微软雅黑" w:eastAsia="微软雅黑" w:cs="微软雅黑"/>
          <w:sz w:val="18"/>
          <w:szCs w:val="18"/>
          <w:lang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谁应参加？</w:t>
      </w:r>
    </w:p>
    <w:p>
      <w:pPr>
        <w:adjustRightInd w:val="0"/>
        <w:snapToGrid w:val="0"/>
        <w:ind w:left="210" w:left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企业人力资源负责人、薪酬负责人、企业中高层管理人员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课程大纲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color w:val="993300"/>
          <w:sz w:val="18"/>
          <w:szCs w:val="18"/>
        </w:rPr>
      </w:pPr>
    </w:p>
    <w:p>
      <w:pPr>
        <w:adjustRightInd w:val="0"/>
        <w:snapToGrid w:val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理念篇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：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基于企业战略的薪酬理念及策略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一、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如何分析企业的薪酬体系?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1、薪酬体系分析的四个视角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 战略视角、员工视角、市场视角、财务视角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2、薪酬分析的规范统计口径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基本现金收入、固定现金收入、现金总收入、总薪酬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3、职位职级体系与薪酬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 3.1 职位序列划分与薪酬设计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  3.2 职位层级划分与薪酬设计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案例分析：</w:t>
      </w:r>
    </w:p>
    <w:p>
      <w:pPr>
        <w:numPr>
          <w:ilvl w:val="0"/>
          <w:numId w:val="1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如何通过薪酬回归表分析企业的薪酬现状</w:t>
      </w:r>
    </w:p>
    <w:p>
      <w:pPr>
        <w:numPr>
          <w:ilvl w:val="0"/>
          <w:numId w:val="1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研发团队如何设计薪酬结构</w:t>
      </w:r>
    </w:p>
    <w:p>
      <w:pPr>
        <w:numPr>
          <w:ilvl w:val="0"/>
          <w:numId w:val="1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某高科技企业的职级职等与薪酬设计</w:t>
      </w:r>
    </w:p>
    <w:p>
      <w:pPr>
        <w:numPr>
          <w:ilvl w:val="0"/>
          <w:numId w:val="1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未盈利企业面临的调薪难题 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二、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构建公平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富有激励性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的薪酬体系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的付薪理念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1、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企业为什么付薪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？3P+1M的付薪理念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为职位价值付薪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？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为个人差异付薪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？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为绩效付薪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？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根据市场定薪？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2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、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如何进行岗位价值评估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三、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公司的薪酬水平</w:t>
      </w: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设计策略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1、公司的整体薪酬水平如何定位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 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2、不同职位序列的岗位薪酬定位策略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3、如何使用薪酬调研报告来精准决策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</w:p>
    <w:p>
      <w:pPr>
        <w:autoSpaceDE w:val="0"/>
        <w:autoSpaceDN w:val="0"/>
        <w:adjustRightInd w:val="0"/>
        <w:snapToGrid w:val="0"/>
        <w:jc w:val="left"/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color w:val="000000"/>
          <w:sz w:val="18"/>
          <w:szCs w:val="18"/>
        </w:rPr>
        <w:t>四、宽带薪酬体系的设计与执行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1、宽带体系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设计 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薪酬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水平中位值确定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薪酬带宽设计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员工个体定薪</w:t>
      </w:r>
      <w:r>
        <w:rPr>
          <w:rFonts w:hint="eastAsia" w:ascii="微软雅黑" w:hAnsi="微软雅黑" w:eastAsia="微软雅黑" w:cs="微软雅黑"/>
          <w:color w:val="000000"/>
          <w:kern w:val="0"/>
          <w:sz w:val="18"/>
          <w:szCs w:val="18"/>
        </w:rPr>
        <w:t>及套档模型</w:t>
      </w:r>
    </w:p>
    <w:p>
      <w:pPr>
        <w:numPr>
          <w:ilvl w:val="1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如何确定具体人员的薪酬档位? 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薪酬结构、固浮比与薪酬项目设计</w:t>
      </w:r>
    </w:p>
    <w:p>
      <w:pPr>
        <w:adjustRightInd w:val="0"/>
        <w:snapToGrid w:val="0"/>
        <w:ind w:left="42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2、</w:t>
      </w: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 xml:space="preserve">测算与执行 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  <w:sz w:val="18"/>
          <w:szCs w:val="18"/>
        </w:rPr>
        <w:t>薪酬调整与测算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color w:val="993300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工具篇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：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宽带薪酬体系的工具与方法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一、岗位价值评估工具（使用及练习）</w:t>
      </w:r>
    </w:p>
    <w:p>
      <w:pPr>
        <w:adjustRightInd w:val="0"/>
        <w:snapToGrid w:val="0"/>
        <w:ind w:left="420" w:left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1、如何评定公司级别？</w:t>
      </w:r>
    </w:p>
    <w:p>
      <w:pPr>
        <w:adjustRightInd w:val="0"/>
        <w:snapToGrid w:val="0"/>
        <w:ind w:left="420" w:left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2、岗位价值评估各因素的评判标准关键点解读</w:t>
      </w:r>
    </w:p>
    <w:p>
      <w:pPr>
        <w:adjustRightInd w:val="0"/>
        <w:snapToGrid w:val="0"/>
        <w:ind w:left="420" w:left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3、岗位评估练习</w:t>
      </w:r>
    </w:p>
    <w:p>
      <w:pPr>
        <w:adjustRightInd w:val="0"/>
        <w:snapToGrid w:val="0"/>
        <w:ind w:left="420" w:left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4、评估技巧分享</w:t>
      </w:r>
    </w:p>
    <w:p>
      <w:pPr>
        <w:adjustRightInd w:val="0"/>
        <w:snapToGrid w:val="0"/>
        <w:ind w:left="420" w:leftChars="20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二、薪酬回归分析和散点图制作工具（使用及练习）</w:t>
      </w:r>
    </w:p>
    <w:p>
      <w:pPr>
        <w:adjustRightInd w:val="0"/>
        <w:snapToGrid w:val="0"/>
        <w:ind w:firstLine="18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1、分位值的概念及计算</w:t>
      </w:r>
    </w:p>
    <w:p>
      <w:pPr>
        <w:adjustRightInd w:val="0"/>
        <w:snapToGrid w:val="0"/>
        <w:ind w:firstLine="18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2、回归分析</w:t>
      </w:r>
    </w:p>
    <w:p>
      <w:pPr>
        <w:adjustRightInd w:val="0"/>
        <w:snapToGrid w:val="0"/>
        <w:ind w:firstLine="18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3、散点图制作</w:t>
      </w:r>
    </w:p>
    <w:p>
      <w:pPr>
        <w:adjustRightInd w:val="0"/>
        <w:snapToGrid w:val="0"/>
        <w:ind w:firstLine="18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4、个体薪酬水平的内外偏离度分析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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三、宽带薪酬设计工具（使用及练习）</w:t>
      </w:r>
    </w:p>
    <w:p>
      <w:pPr>
        <w:adjustRightInd w:val="0"/>
        <w:snapToGrid w:val="0"/>
        <w:ind w:firstLine="18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1、如何设计岗位年度总现金收入？</w:t>
      </w:r>
    </w:p>
    <w:p>
      <w:pPr>
        <w:adjustRightInd w:val="0"/>
        <w:snapToGrid w:val="0"/>
        <w:ind w:firstLine="18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2、薪酬的档位拆分</w:t>
      </w:r>
    </w:p>
    <w:p>
      <w:pPr>
        <w:adjustRightInd w:val="0"/>
        <w:snapToGrid w:val="0"/>
        <w:ind w:firstLine="180" w:firstLineChars="1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3、薪酬的结构拆分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四、套档模型及薪酬测算工具（使用及练习）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1、套档因素、权重和评分设计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2、附加因素和评分设计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3、套档分数与档位之间的对应关系设计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4、员工套档因素收集及档位测算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5、个体和总体薪酬设计前后测算对比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color w:val="993300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专案篇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>：</w:t>
      </w:r>
      <w:r>
        <w:rPr>
          <w:rFonts w:hint="eastAsia" w:ascii="微软雅黑" w:hAnsi="微软雅黑" w:eastAsia="微软雅黑" w:cs="微软雅黑"/>
          <w:b/>
          <w:bCs/>
          <w:sz w:val="18"/>
          <w:szCs w:val="18"/>
        </w:rPr>
        <w:t>不同体系员工的激励方式设计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一、销售团队的激励方式设计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1、销售体系的薪酬设计的关键点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   2、销售人员薪酬设计需考虑哪些因素？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3、销售人员常见薪酬模式及运用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4、销售人员浮动薪酬的支付模式及运用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二、研发团队的激励方式设计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1、研发体系的薪酬设计的关键点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2、研发人员的职业通道与晋级资格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3、研发人员的项目制考核与激励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三、高管薪酬与激励方式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1、高管的需求分析与薪酬设计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案例：多元化集团如何对下属企业领导班子定薪及考核</w:t>
      </w:r>
    </w:p>
    <w:p>
      <w:pPr>
        <w:adjustRightInd w:val="0"/>
        <w:snapToGrid w:val="0"/>
        <w:ind w:firstLine="360" w:firstLineChars="20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2、高管团队的激励方式选择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三层次激励理论：成就激励、物质激励、机会激励</w:t>
      </w:r>
    </w:p>
    <w:p>
      <w:pPr>
        <w:numPr>
          <w:ilvl w:val="0"/>
          <w:numId w:val="2"/>
        </w:num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长短期激励方案如何结合？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2"/>
        <w:adjustRightInd w:val="0"/>
        <w:snapToGrid w:val="0"/>
        <w:spacing w:before="0" w:after="0" w:line="240" w:lineRule="auto"/>
        <w:rPr>
          <w:rFonts w:hint="eastAsia" w:ascii="微软雅黑" w:hAnsi="微软雅黑" w:eastAsia="微软雅黑" w:cs="微软雅黑"/>
          <w:b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讲师介绍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sz w:val="18"/>
          <w:szCs w:val="18"/>
        </w:rPr>
        <w:t>李洪涛 （Steven Li）</w:t>
      </w:r>
      <w:r>
        <w:rPr>
          <w:rFonts w:hint="eastAsia" w:ascii="微软雅黑" w:hAnsi="微软雅黑" w:eastAsia="微软雅黑" w:cs="微软雅黑"/>
          <w:b/>
          <w:sz w:val="18"/>
          <w:szCs w:val="18"/>
        </w:rPr>
        <w:t xml:space="preserve"> 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太和顾问执行董事、高级合伙人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深圳市国资委特聘薪酬管理顾问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企业行动学习教练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企业内部创业导师</w:t>
      </w:r>
    </w:p>
    <w:p>
      <w:pPr>
        <w:adjustRightInd w:val="0"/>
        <w:snapToGrid w:val="0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adjustRightInd w:val="0"/>
        <w:snapToGrid w:val="0"/>
        <w:spacing w:line="276" w:lineRule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李洪涛先生是太和顾问董事合伙人，在加盟太和顾问之前，曾在地产、互联网、消费品等行业的企业中担任高管，具有丰富的企业管理实践经验与人力资源管理咨询经验，是深圳市国资委特聘的薪酬管理外部指导专家，目前担任数家知名企业的人力资源管理顾问。</w:t>
      </w:r>
    </w:p>
    <w:p>
      <w:pPr>
        <w:adjustRightInd w:val="0"/>
        <w:snapToGrid w:val="0"/>
        <w:spacing w:line="276" w:lineRule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李洪涛先生持续专注于企业组织管控、薪酬激励、绩效管理、员工职业发展通道等体系的设计和研究，擅长用激励体系驱动企业战略达成、企业内部创新与创业激励变革。        </w:t>
      </w:r>
    </w:p>
    <w:p>
      <w:pPr>
        <w:adjustRightInd w:val="0"/>
        <w:snapToGrid w:val="0"/>
        <w:spacing w:line="276" w:lineRule="auto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>曾为深圳国资委、深圳投资控股、华润置地、华侨城、珠海横琴开发区、深圳前海管理局、金圆投资集团、广西投资集团、厦门信托、兴奇集团、金瑞期货、广州银行、特发集团、葛洲坝电力、中石化森美、招商地产、越秀地产、棕榈园林、证券时报、广东移动、东南卫视、东风日产、东南汽车、农产品股份、环亚科技、汇美集团、卓越教育、李锦记、广百股份、白云山星群药业、喜威燃气、日丰集团、无穷食品、全志科技等数近百余家企业和机构提供过薪酬、绩效及组织变革等人力资源管理咨询服务。每年主讲数十场公开课及内训，为数百家企业培训人力资源管理的专业人才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4F3E36"/>
    <w:multiLevelType w:val="multilevel"/>
    <w:tmpl w:val="064F3E36"/>
    <w:lvl w:ilvl="0" w:tentative="0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abstractNum w:abstractNumId="1">
    <w:nsid w:val="50157074"/>
    <w:multiLevelType w:val="multilevel"/>
    <w:tmpl w:val="50157074"/>
    <w:lvl w:ilvl="0" w:tentative="0">
      <w:start w:val="1"/>
      <w:numFmt w:val="bullet"/>
      <w:lvlText w:val=""/>
      <w:lvlJc w:val="left"/>
      <w:pPr>
        <w:ind w:left="11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6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2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7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8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0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14E7D"/>
    <w:rsid w:val="000C7748"/>
    <w:rsid w:val="000F5C57"/>
    <w:rsid w:val="001205B0"/>
    <w:rsid w:val="00294995"/>
    <w:rsid w:val="002A60C0"/>
    <w:rsid w:val="00363EE0"/>
    <w:rsid w:val="00405CCC"/>
    <w:rsid w:val="004B0638"/>
    <w:rsid w:val="00716AF9"/>
    <w:rsid w:val="00786F98"/>
    <w:rsid w:val="007F23B9"/>
    <w:rsid w:val="00A741F4"/>
    <w:rsid w:val="00AE316B"/>
    <w:rsid w:val="00B60454"/>
    <w:rsid w:val="00BC7704"/>
    <w:rsid w:val="00C5042A"/>
    <w:rsid w:val="00C63E3E"/>
    <w:rsid w:val="00CF032D"/>
    <w:rsid w:val="00D174DD"/>
    <w:rsid w:val="00D2524F"/>
    <w:rsid w:val="00DE038E"/>
    <w:rsid w:val="00DF645F"/>
    <w:rsid w:val="00E621D5"/>
    <w:rsid w:val="00F82E44"/>
    <w:rsid w:val="0FFE710A"/>
    <w:rsid w:val="104270DF"/>
    <w:rsid w:val="44BF39B5"/>
    <w:rsid w:val="5061596D"/>
    <w:rsid w:val="65AA39BB"/>
    <w:rsid w:val="69414E7D"/>
    <w:rsid w:val="6EE57CB0"/>
    <w:rsid w:val="70F24DA4"/>
    <w:rsid w:val="7582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lang w:val="zh-CN" w:eastAsia="zh-CN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8">
    <w:name w:val="标题 2 Char"/>
    <w:link w:val="2"/>
    <w:qFormat/>
    <w:uiPriority w:val="0"/>
    <w:rPr>
      <w:rFonts w:ascii="Arial" w:hAnsi="Arial" w:eastAsia="黑体"/>
      <w:b/>
      <w:sz w:val="32"/>
    </w:rPr>
  </w:style>
  <w:style w:type="character" w:customStyle="1" w:styleId="9">
    <w:name w:val="页眉 Char"/>
    <w:link w:val="4"/>
    <w:semiHidden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329</Words>
  <Characters>1876</Characters>
  <Lines>15</Lines>
  <Paragraphs>4</Paragraphs>
  <TotalTime>31</TotalTime>
  <ScaleCrop>false</ScaleCrop>
  <LinksUpToDate>false</LinksUpToDate>
  <CharactersWithSpaces>2201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2019-01-14T03:17:00Z</dcterms:created>
  <dc:creator>lff</dc:creator>
  <cp:lastModifiedBy>Sarah阳京华</cp:lastModifiedBy>
  <dcterms:modified xsi:type="dcterms:W3CDTF">2021-05-28T02:44:58Z</dcterms:modified>
  <dc:title>薪酬教练——手把手教你做薪酬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A639304FFC0A431E9AEC9C9EBB35F689</vt:lpwstr>
  </property>
</Properties>
</file>