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钱途——非财务经理的财务管理沙盘</w:t>
      </w:r>
    </w:p>
    <w:p>
      <w:pPr>
        <w:jc w:val="center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深圳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8月20-21日</w:t>
      </w:r>
    </w:p>
    <w:p>
      <w:pPr>
        <w:jc w:val="center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费用：4580元</w:t>
      </w:r>
    </w:p>
    <w:p>
      <w:pPr>
        <w:pStyle w:val="2"/>
        <w:numPr>
          <w:ilvl w:val="1"/>
          <w:numId w:val="0"/>
        </w:numPr>
        <w:ind w:leftChars="0"/>
        <w:rPr>
          <w:rFonts w:hint="eastAsia" w:ascii="微软雅黑" w:hAnsi="微软雅黑" w:eastAsia="微软雅黑" w:cs="微软雅黑"/>
          <w:sz w:val="18"/>
          <w:szCs w:val="18"/>
        </w:rPr>
      </w:pPr>
      <w:bookmarkStart w:id="0" w:name="_Toc449688586"/>
      <w:r>
        <w:rPr>
          <w:rFonts w:hint="eastAsia" w:ascii="微软雅黑" w:hAnsi="微软雅黑" w:eastAsia="微软雅黑" w:cs="微软雅黑"/>
          <w:sz w:val="18"/>
          <w:szCs w:val="18"/>
        </w:rPr>
        <w:t>课程收益</w:t>
      </w:r>
      <w:bookmarkEnd w:id="0"/>
      <w:bookmarkStart w:id="3" w:name="_GoBack"/>
      <w:bookmarkEnd w:id="3"/>
    </w:p>
    <w:p>
      <w:pPr>
        <w:numPr>
          <w:ilvl w:val="0"/>
          <w:numId w:val="2"/>
        </w:numPr>
        <w:adjustRightInd/>
        <w:snapToGrid/>
        <w:spacing w:beforeLines="0" w:line="360" w:lineRule="auto"/>
        <w:ind w:leftChars="0" w:firstLine="147"/>
        <w:rPr>
          <w:rFonts w:hint="eastAsia" w:ascii="微软雅黑" w:hAnsi="微软雅黑" w:eastAsia="微软雅黑" w:cs="微软雅黑"/>
          <w:i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了解经营的本质，培养系统思维；</w:t>
      </w:r>
    </w:p>
    <w:p>
      <w:pPr>
        <w:numPr>
          <w:ilvl w:val="0"/>
          <w:numId w:val="2"/>
        </w:numPr>
        <w:adjustRightInd/>
        <w:snapToGrid/>
        <w:spacing w:beforeLines="0" w:line="360" w:lineRule="auto"/>
        <w:ind w:leftChars="0" w:firstLine="147"/>
        <w:rPr>
          <w:rFonts w:hint="eastAsia" w:ascii="微软雅黑" w:hAnsi="微软雅黑" w:eastAsia="微软雅黑" w:cs="微软雅黑"/>
          <w:i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进对公司内部部门之间财务相关性的理解；</w:t>
      </w:r>
    </w:p>
    <w:p>
      <w:pPr>
        <w:numPr>
          <w:ilvl w:val="0"/>
          <w:numId w:val="2"/>
        </w:numPr>
        <w:adjustRightInd/>
        <w:snapToGrid/>
        <w:spacing w:beforeLines="0" w:line="360" w:lineRule="auto"/>
        <w:ind w:leftChars="0" w:firstLine="147"/>
        <w:rPr>
          <w:rFonts w:hint="eastAsia" w:ascii="微软雅黑" w:hAnsi="微软雅黑" w:eastAsia="微软雅黑" w:cs="微软雅黑"/>
          <w:i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建立全局意识，改善部门沟通，一切用数字说话；</w:t>
      </w:r>
    </w:p>
    <w:p>
      <w:pPr>
        <w:numPr>
          <w:ilvl w:val="0"/>
          <w:numId w:val="2"/>
        </w:numPr>
        <w:adjustRightInd/>
        <w:snapToGrid/>
        <w:spacing w:beforeLines="0" w:line="360" w:lineRule="auto"/>
        <w:ind w:leftChars="0" w:firstLine="147"/>
        <w:rPr>
          <w:rFonts w:hint="eastAsia" w:ascii="微软雅黑" w:hAnsi="微软雅黑" w:eastAsia="微软雅黑" w:cs="微软雅黑"/>
          <w:i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学习、了解财务理论，并通过实践体会其含义；</w:t>
      </w:r>
    </w:p>
    <w:p>
      <w:pPr>
        <w:numPr>
          <w:ilvl w:val="0"/>
          <w:numId w:val="2"/>
        </w:numPr>
        <w:adjustRightInd/>
        <w:snapToGrid/>
        <w:spacing w:beforeLines="0" w:line="360" w:lineRule="auto"/>
        <w:ind w:leftChars="0" w:firstLine="147"/>
        <w:rPr>
          <w:rFonts w:hint="eastAsia" w:ascii="微软雅黑" w:hAnsi="微软雅黑" w:eastAsia="微软雅黑" w:cs="微软雅黑"/>
          <w:i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掌握企业经营实用的工具和方法；</w:t>
      </w:r>
    </w:p>
    <w:p>
      <w:pPr>
        <w:pStyle w:val="2"/>
        <w:numPr>
          <w:ilvl w:val="1"/>
          <w:numId w:val="0"/>
        </w:numPr>
        <w:ind w:leftChars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numPr>
          <w:ilvl w:val="1"/>
          <w:numId w:val="0"/>
        </w:numPr>
        <w:ind w:left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2060"/>
          <w:sz w:val="18"/>
          <w:szCs w:val="1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55245</wp:posOffset>
            </wp:positionV>
            <wp:extent cx="2324100" cy="1324610"/>
            <wp:effectExtent l="0" t="0" r="0" b="8890"/>
            <wp:wrapSquare wrapText="bothSides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161925</wp:posOffset>
                </wp:positionV>
                <wp:extent cx="3266440" cy="2162175"/>
                <wp:effectExtent l="5080" t="4445" r="5080" b="5080"/>
                <wp:wrapNone/>
                <wp:docPr id="1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44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/>
                              <w:ind w:left="891"/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8" o:spid="_x0000_s1026" o:spt="202" type="#_x0000_t202" style="position:absolute;left:0pt;margin-left:192.1pt;margin-top:12.75pt;height:170.25pt;width:257.2pt;z-index:251659264;mso-width-relative:page;mso-height-relative:margin;mso-height-percent:200;" fillcolor="#FFFFFF" filled="t" stroked="t" coordsize="21600,21600" o:gfxdata="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yOO0raAAAACgEAAA8AAAAA&#10;AAAAAQAgAAAAIgAAAGRycy9kb3ducmV2LnhtbFBLAQIUABQAAAAIAIdO4kBvWzxGEgIAAFIEAAAO&#10;AAAAAAAAAAEAIAAAACkBAABkcnMvZTJvRG9jLnhtbFBLBQYAAAAABgAGAFkBAACt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before="156"/>
                        <w:ind w:left="89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w:t>参与对象</w:t>
      </w:r>
    </w:p>
    <w:p>
      <w:pPr>
        <w:widowControl w:val="0"/>
        <w:numPr>
          <w:ilvl w:val="0"/>
          <w:numId w:val="0"/>
        </w:numPr>
        <w:adjustRightInd/>
        <w:snapToGrid/>
        <w:spacing w:beforeLines="0" w:line="360" w:lineRule="auto"/>
        <w:jc w:val="both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企业管理人员</w:t>
      </w:r>
    </w:p>
    <w:p>
      <w:pPr>
        <w:pStyle w:val="2"/>
        <w:numPr>
          <w:ilvl w:val="1"/>
          <w:numId w:val="0"/>
        </w:numPr>
        <w:ind w:leftChars="0"/>
        <w:rPr>
          <w:rFonts w:hint="eastAsia" w:ascii="微软雅黑" w:hAnsi="微软雅黑" w:eastAsia="微软雅黑" w:cs="微软雅黑"/>
          <w:sz w:val="18"/>
          <w:szCs w:val="18"/>
        </w:rPr>
      </w:pPr>
      <w:bookmarkStart w:id="1" w:name="_Toc449688588"/>
      <w:r>
        <w:rPr>
          <w:rFonts w:hint="eastAsia" w:ascii="微软雅黑" w:hAnsi="微软雅黑" w:eastAsia="微软雅黑" w:cs="微软雅黑"/>
          <w:sz w:val="18"/>
          <w:szCs w:val="18"/>
        </w:rPr>
        <w:t>培训时长</w:t>
      </w:r>
      <w:bookmarkEnd w:id="1"/>
    </w:p>
    <w:p>
      <w:pPr>
        <w:spacing w:before="156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2天</w:t>
      </w:r>
    </w:p>
    <w:p>
      <w:pPr>
        <w:widowControl w:val="0"/>
        <w:numPr>
          <w:ilvl w:val="0"/>
          <w:numId w:val="0"/>
        </w:numPr>
        <w:adjustRightInd/>
        <w:snapToGrid/>
        <w:spacing w:beforeLines="0" w:line="360" w:lineRule="auto"/>
        <w:jc w:val="both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numPr>
          <w:ilvl w:val="1"/>
          <w:numId w:val="0"/>
        </w:numPr>
        <w:ind w:leftChars="0"/>
        <w:rPr>
          <w:rFonts w:hint="eastAsia" w:ascii="微软雅黑" w:hAnsi="微软雅黑" w:eastAsia="微软雅黑" w:cs="微软雅黑"/>
          <w:sz w:val="18"/>
          <w:szCs w:val="18"/>
        </w:rPr>
      </w:pPr>
      <w:bookmarkStart w:id="2" w:name="_Toc449688589"/>
      <w:r>
        <w:rPr>
          <w:rFonts w:hint="eastAsia" w:ascii="微软雅黑" w:hAnsi="微软雅黑" w:eastAsia="微软雅黑" w:cs="微软雅黑"/>
          <w:sz w:val="18"/>
          <w:szCs w:val="18"/>
        </w:rPr>
        <w:t>课程内容</w:t>
      </w:r>
      <w:bookmarkEnd w:id="2"/>
    </w:p>
    <w:p>
      <w:pPr>
        <w:tabs>
          <w:tab w:val="left" w:pos="4995"/>
        </w:tabs>
        <w:spacing w:before="156" w:line="440" w:lineRule="exact"/>
        <w:ind w:left="302" w:leftChars="144" w:firstLine="360" w:firstLine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让学员分组经营一家模拟公司，相互之间展开竞争,在这个过程中经历市场变化和竞争对手带来的冲击和机会，看到自身经营行为对公司财务结果的影响，体会企业在追求盈利与成长的道路会面临的各种挑战——资源限制、规模限制、股东回报、跨部门沟通、执行效果，等等。</w:t>
      </w:r>
    </w:p>
    <w:p>
      <w:pPr>
        <w:tabs>
          <w:tab w:val="left" w:pos="4995"/>
        </w:tabs>
        <w:spacing w:before="156" w:line="440" w:lineRule="exact"/>
        <w:ind w:left="302" w:leftChars="144" w:firstLine="360" w:firstLine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在这个体验的过程中，讲师将带领学员亲手制作利润表、资产负债表、杜邦金字塔等财务报表，同时真正将报表同企业经营结合起来，利用报表去认识和优化企业运营过程。     </w:t>
      </w:r>
    </w:p>
    <w:p>
      <w:pPr>
        <w:tabs>
          <w:tab w:val="left" w:pos="4995"/>
        </w:tabs>
        <w:spacing w:before="156" w:line="440" w:lineRule="exact"/>
        <w:ind w:left="302" w:leftChars="144" w:firstLine="360" w:firstLine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课程还将提供给学员一些通俗易懂的财务工具演练，进行基本的财务分析，提升参训人员的财务知识和财务理念，学会把管理的目标进行量化，找到公司内部降低成本和提高收益的办法。</w:t>
      </w:r>
    </w:p>
    <w:p>
      <w:pPr>
        <w:spacing w:before="156" w:line="360" w:lineRule="auto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2060"/>
          <w:sz w:val="18"/>
          <w:szCs w:val="18"/>
        </w:rPr>
        <w:t>【课程流程内容】</w:t>
      </w:r>
    </w:p>
    <w:tbl>
      <w:tblPr>
        <w:tblStyle w:val="4"/>
        <w:tblW w:w="8485" w:type="dxa"/>
        <w:tblInd w:w="0" w:type="dxa"/>
        <w:tbl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single" w:color="A5A5A5" w:themeColor="accent3" w:sz="8" w:space="0"/>
          <w:insideV w:val="single" w:color="A5A5A5" w:themeColor="accent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55"/>
      </w:tblGrid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tblHeader/>
        </w:trPr>
        <w:tc>
          <w:tcPr>
            <w:tcW w:w="2130" w:type="dxa"/>
            <w:tcBorders>
              <w:top w:val="single" w:color="A5A5A5" w:themeColor="accent3" w:sz="12" w:space="0"/>
              <w:left w:val="single" w:color="A5A5A5" w:themeColor="accent3" w:sz="12" w:space="0"/>
              <w:bottom w:val="single" w:color="A5A5A5" w:themeColor="accent3" w:sz="18" w:space="0"/>
              <w:right w:val="single" w:color="A5A5A5" w:themeColor="accent3" w:sz="8" w:space="0"/>
              <w:insideH w:val="single" w:sz="18" w:space="0"/>
              <w:insideV w:val="single" w:sz="8" w:space="0"/>
            </w:tcBorders>
            <w:shd w:val="clear" w:color="auto" w:fill="DADADA" w:themeFill="accent3" w:themeFillTint="66"/>
          </w:tcPr>
          <w:p>
            <w:pPr>
              <w:pStyle w:val="6"/>
              <w:spacing w:before="0" w:after="0" w:line="240" w:lineRule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主题内容</w:t>
            </w:r>
          </w:p>
        </w:tc>
        <w:tc>
          <w:tcPr>
            <w:tcW w:w="6355" w:type="dxa"/>
            <w:tcBorders>
              <w:top w:val="single" w:color="A5A5A5" w:themeColor="accent3" w:sz="12" w:space="0"/>
              <w:bottom w:val="single" w:color="A5A5A5" w:themeColor="accent3" w:sz="18" w:space="0"/>
              <w:right w:val="single" w:color="A5A5A5" w:themeColor="accent3" w:sz="12" w:space="0"/>
              <w:insideH w:val="single" w:sz="18" w:space="0"/>
              <w:insideV w:val="single" w:sz="8" w:space="0"/>
            </w:tcBorders>
            <w:shd w:val="clear" w:color="auto" w:fill="DADADA" w:themeFill="accent3" w:themeFillTint="66"/>
          </w:tcPr>
          <w:p>
            <w:pPr>
              <w:pStyle w:val="6"/>
              <w:spacing w:before="0" w:after="0" w:line="240" w:lineRule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课程精华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130" w:type="dxa"/>
            <w:tcBorders>
              <w:left w:val="single" w:color="A5A5A5" w:themeColor="accent3" w:sz="12" w:space="0"/>
            </w:tcBorders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第一章 资产负债表：企业家底状况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55" w:type="dxa"/>
            <w:tcBorders>
              <w:right w:val="single" w:color="A5A5A5" w:themeColor="accent3" w:sz="12" w:space="0"/>
            </w:tcBorders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一、从一个家庭的例子谈起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二、摸清企业的家底状况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三、资产负债表列示了哪些内容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四、资产分布结构对经营策略的影响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五、资产负债表是根据什么原理编制的？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130" w:type="dxa"/>
            <w:tcBorders>
              <w:left w:val="single" w:color="A5A5A5" w:themeColor="accent3" w:sz="12" w:space="0"/>
            </w:tcBorders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第二章 利润是怎样产生的</w:t>
            </w:r>
          </w:p>
        </w:tc>
        <w:tc>
          <w:tcPr>
            <w:tcW w:w="6355" w:type="dxa"/>
            <w:tcBorders>
              <w:right w:val="single" w:color="A5A5A5" w:themeColor="accent3" w:sz="12" w:space="0"/>
            </w:tcBorders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一、收入：利润的主要来源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二、利得：偶发性收益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三、费用：为取得利润而耗费的资产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四、损失：不再带来收益的资产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五、净利润：最终经营成果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130" w:type="dxa"/>
            <w:tcBorders>
              <w:left w:val="single" w:color="A5A5A5" w:themeColor="accent3" w:sz="12" w:space="0"/>
            </w:tcBorders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第三章 利润表：经营业绩状况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55" w:type="dxa"/>
            <w:tcBorders>
              <w:right w:val="single" w:color="A5A5A5" w:themeColor="accent3" w:sz="12" w:space="0"/>
            </w:tcBorders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一、为什么要编制利润表？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二、利润表记录了哪些主要内容？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三、利润表是根据什么原理编制的？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130" w:type="dxa"/>
            <w:tcBorders>
              <w:left w:val="single" w:color="A5A5A5" w:themeColor="accent3" w:sz="12" w:space="0"/>
            </w:tcBorders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第四章 现金流量表：资金周转状况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55" w:type="dxa"/>
            <w:tcBorders>
              <w:right w:val="single" w:color="A5A5A5" w:themeColor="accent3" w:sz="12" w:space="0"/>
            </w:tcBorders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一、现金为王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二、为什么净利润不等于现金流量？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三、现金流量的分类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四、直接法现金流量表：现金从哪里来，到哪里去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130" w:type="dxa"/>
            <w:tcBorders>
              <w:left w:val="single" w:color="A5A5A5" w:themeColor="accent3" w:sz="12" w:space="0"/>
            </w:tcBorders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第五章 利润表与资产负债表的关系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55" w:type="dxa"/>
            <w:tcBorders>
              <w:right w:val="single" w:color="A5A5A5" w:themeColor="accent3" w:sz="12" w:space="0"/>
            </w:tcBorders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一、销售收入和应收账款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二、销售成本与存货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三、应付账款与销售成本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130" w:type="dxa"/>
            <w:tcBorders>
              <w:left w:val="single" w:color="A5A5A5" w:themeColor="accent3" w:sz="12" w:space="0"/>
            </w:tcBorders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第六章 价值管理：使企业更值钱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55" w:type="dxa"/>
            <w:tcBorders>
              <w:right w:val="single" w:color="A5A5A5" w:themeColor="accent3" w:sz="12" w:space="0"/>
            </w:tcBorders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一、财务管理目标：企业价值最大化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二、管理增长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三、追求盈利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四、控制风险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五、基于价值管理的财务分析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130" w:type="dxa"/>
            <w:tcBorders>
              <w:left w:val="single" w:color="A5A5A5" w:themeColor="accent3" w:sz="12" w:space="0"/>
            </w:tcBorders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第七章 怎样探测企业经济活动盈利状况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55" w:type="dxa"/>
            <w:tcBorders>
              <w:right w:val="single" w:color="A5A5A5" w:themeColor="accent3" w:sz="12" w:space="0"/>
            </w:tcBorders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一、每销售1元所赚取的净利润是多少？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二、商品有多少毛利呢？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三、每1元资产能造成多少元的收入？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四、每1元资产能赚取多少元利润？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五、为股东赚钱的能力怎样？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六、投资收益率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130" w:type="dxa"/>
            <w:tcBorders>
              <w:left w:val="single" w:color="A5A5A5" w:themeColor="accent3" w:sz="12" w:space="0"/>
            </w:tcBorders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第八章 怎样检测企业经济活动增长状况</w:t>
            </w:r>
          </w:p>
        </w:tc>
        <w:tc>
          <w:tcPr>
            <w:tcW w:w="6355" w:type="dxa"/>
            <w:tcBorders>
              <w:right w:val="single" w:color="A5A5A5" w:themeColor="accent3" w:sz="12" w:space="0"/>
            </w:tcBorders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一、销售增长越快越好吗？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二、快速增长对外部资金的需求分析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三、可持续增长模型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四、企业增长性分析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五、增长过快分析及对策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六、增长过慢分析及对策</w:t>
            </w:r>
          </w:p>
        </w:tc>
      </w:tr>
      <w:tr>
        <w:tblPrEx>
          <w:tblBorders>
            <w:top w:val="single" w:color="A5A5A5" w:themeColor="accent3" w:sz="8" w:space="0"/>
            <w:left w:val="single" w:color="A5A5A5" w:themeColor="accent3" w:sz="8" w:space="0"/>
            <w:bottom w:val="single" w:color="A5A5A5" w:themeColor="accent3" w:sz="8" w:space="0"/>
            <w:right w:val="single" w:color="A5A5A5" w:themeColor="accent3" w:sz="8" w:space="0"/>
            <w:insideH w:val="single" w:color="A5A5A5" w:themeColor="accent3" w:sz="8" w:space="0"/>
            <w:insideV w:val="single" w:color="A5A5A5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130" w:type="dxa"/>
            <w:tcBorders>
              <w:left w:val="single" w:color="A5A5A5" w:themeColor="accent3" w:sz="12" w:space="0"/>
              <w:bottom w:val="single" w:color="A5A5A5" w:themeColor="accent3" w:sz="12" w:space="0"/>
            </w:tcBorders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第九章 投资财务分析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55" w:type="dxa"/>
            <w:tcBorders>
              <w:bottom w:val="single" w:color="A5A5A5" w:themeColor="accent3" w:sz="12" w:space="0"/>
              <w:right w:val="single" w:color="A5A5A5" w:themeColor="accent3" w:sz="12" w:space="0"/>
            </w:tcBorders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一、固定资产投资决策的类型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二、固定资产投资的特点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三、投资决策分析的基本思路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四、投资决策分析的工具：投资分析试算表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五、固定资产决策的传统分析方法</w:t>
            </w:r>
          </w:p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六、投资项目盈亏平衡分析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jc w:val="center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8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白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老师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</w:t>
      </w:r>
    </w:p>
    <w:p>
      <w:pPr>
        <w:pStyle w:val="8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优势战略系列沙盘独创者，体验式学习专家、沙盘课程设计师；</w:t>
      </w:r>
    </w:p>
    <w:p>
      <w:pPr>
        <w:pStyle w:val="8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北京大学深圳研究生院管理咨询委员会专家委员；</w:t>
      </w:r>
    </w:p>
    <w:p>
      <w:pPr>
        <w:pStyle w:val="8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国家行政学院、北京大学、南京大学、河海大学、湖南省委党校指定沙盘培训师；</w:t>
      </w:r>
    </w:p>
    <w:p>
      <w:pPr>
        <w:pStyle w:val="8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国家二级心理咨询师；</w:t>
      </w:r>
    </w:p>
    <w:p>
      <w:pPr>
        <w:pStyle w:val="8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原人众人教育集团华南区创始人、总经理、高级培训师。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8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毕业于北京大学政府管理学院，拥有扎实的管理学理论基础；</w:t>
      </w:r>
    </w:p>
    <w:p>
      <w:pPr>
        <w:pStyle w:val="8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毕业后在广东省交通厅、交通集团从事行政管理、质量管理工作，实践经验丰富；</w:t>
      </w:r>
    </w:p>
    <w:p>
      <w:pPr>
        <w:pStyle w:val="8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2002到2008年在中国最大的体验式培训公司人众人工作7年，对体验式培训有着深刻理解。擅长基于客户需求的定制化课程， 10几年来，积累数百家客户、数千天、万余人的培训经验，并开发出优势三角系列沙盘课程。</w:t>
      </w:r>
    </w:p>
    <w:p>
      <w:pPr>
        <w:jc w:val="center"/>
        <w:rPr>
          <w:rFonts w:hint="eastAsia" w:ascii="微软雅黑" w:hAnsi="微软雅黑" w:eastAsia="微软雅黑" w:cs="微软雅黑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915062"/>
    <w:multiLevelType w:val="multilevel"/>
    <w:tmpl w:val="3C915062"/>
    <w:lvl w:ilvl="0" w:tentative="0">
      <w:start w:val="1"/>
      <w:numFmt w:val="decimal"/>
      <w:lvlText w:val="%1."/>
      <w:lvlJc w:val="left"/>
      <w:pPr>
        <w:ind w:left="279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699" w:hanging="420"/>
      </w:pPr>
      <w:rPr>
        <w:rFonts w:hint="default" w:ascii="Bookshelf Symbol 7" w:hAnsi="Bookshelf Symbol 7"/>
      </w:rPr>
    </w:lvl>
    <w:lvl w:ilvl="2" w:tentative="0">
      <w:start w:val="1"/>
      <w:numFmt w:val="bullet"/>
      <w:lvlText w:val=""/>
      <w:lvlJc w:val="left"/>
      <w:pPr>
        <w:ind w:left="1119" w:hanging="420"/>
      </w:pPr>
      <w:rPr>
        <w:rFonts w:hint="default" w:ascii="Bookshelf Symbol 7" w:hAnsi="Bookshelf Symbol 7"/>
      </w:rPr>
    </w:lvl>
    <w:lvl w:ilvl="3" w:tentative="0">
      <w:start w:val="1"/>
      <w:numFmt w:val="bullet"/>
      <w:lvlText w:val=""/>
      <w:lvlJc w:val="left"/>
      <w:pPr>
        <w:ind w:left="1539" w:hanging="420"/>
      </w:pPr>
      <w:rPr>
        <w:rFonts w:hint="default" w:ascii="Bookshelf Symbol 7" w:hAnsi="Bookshelf Symbol 7"/>
      </w:rPr>
    </w:lvl>
    <w:lvl w:ilvl="4" w:tentative="0">
      <w:start w:val="1"/>
      <w:numFmt w:val="bullet"/>
      <w:lvlText w:val=""/>
      <w:lvlJc w:val="left"/>
      <w:pPr>
        <w:ind w:left="1959" w:hanging="420"/>
      </w:pPr>
      <w:rPr>
        <w:rFonts w:hint="default" w:ascii="Bookshelf Symbol 7" w:hAnsi="Bookshelf Symbol 7"/>
      </w:rPr>
    </w:lvl>
    <w:lvl w:ilvl="5" w:tentative="0">
      <w:start w:val="1"/>
      <w:numFmt w:val="bullet"/>
      <w:lvlText w:val=""/>
      <w:lvlJc w:val="left"/>
      <w:pPr>
        <w:ind w:left="2379" w:hanging="420"/>
      </w:pPr>
      <w:rPr>
        <w:rFonts w:hint="default" w:ascii="Bookshelf Symbol 7" w:hAnsi="Bookshelf Symbol 7"/>
      </w:rPr>
    </w:lvl>
    <w:lvl w:ilvl="6" w:tentative="0">
      <w:start w:val="1"/>
      <w:numFmt w:val="bullet"/>
      <w:lvlText w:val=""/>
      <w:lvlJc w:val="left"/>
      <w:pPr>
        <w:ind w:left="2799" w:hanging="420"/>
      </w:pPr>
      <w:rPr>
        <w:rFonts w:hint="default" w:ascii="Bookshelf Symbol 7" w:hAnsi="Bookshelf Symbol 7"/>
      </w:rPr>
    </w:lvl>
    <w:lvl w:ilvl="7" w:tentative="0">
      <w:start w:val="1"/>
      <w:numFmt w:val="bullet"/>
      <w:lvlText w:val=""/>
      <w:lvlJc w:val="left"/>
      <w:pPr>
        <w:ind w:left="3219" w:hanging="420"/>
      </w:pPr>
      <w:rPr>
        <w:rFonts w:hint="default" w:ascii="Bookshelf Symbol 7" w:hAnsi="Bookshelf Symbol 7"/>
      </w:rPr>
    </w:lvl>
    <w:lvl w:ilvl="8" w:tentative="0">
      <w:start w:val="1"/>
      <w:numFmt w:val="bullet"/>
      <w:lvlText w:val=""/>
      <w:lvlJc w:val="left"/>
      <w:pPr>
        <w:ind w:left="3639" w:hanging="420"/>
      </w:pPr>
      <w:rPr>
        <w:rFonts w:hint="default" w:ascii="Bookshelf Symbol 7" w:hAnsi="Bookshelf Symbol 7"/>
      </w:rPr>
    </w:lvl>
  </w:abstractNum>
  <w:abstractNum w:abstractNumId="1">
    <w:nsid w:val="64421996"/>
    <w:multiLevelType w:val="multilevel"/>
    <w:tmpl w:val="64421996"/>
    <w:lvl w:ilvl="0" w:tentative="0">
      <w:start w:val="1"/>
      <w:numFmt w:val="decimal"/>
      <w:lvlText w:val="%1"/>
      <w:lvlJc w:val="left"/>
      <w:rPr>
        <w:color w:val="A6A6A6" w:themeColor="background1" w:themeShade="A6"/>
        <w:sz w:val="96"/>
      </w:rPr>
    </w:lvl>
    <w:lvl w:ilvl="1" w:tentative="0">
      <w:start w:val="1"/>
      <w:numFmt w:val="decimal"/>
      <w:pStyle w:val="2"/>
      <w:lvlText w:val="%1.%2"/>
      <w:lvlJc w:val="left"/>
      <w:rPr>
        <w:color w:val="A6A6A6" w:themeColor="background1" w:themeShade="A6"/>
        <w:sz w:val="44"/>
      </w:rPr>
    </w:lvl>
    <w:lvl w:ilvl="2" w:tentative="0">
      <w:start w:val="1"/>
      <w:numFmt w:val="decimal"/>
      <w:lvlText w:val="%1.%2.%3"/>
      <w:lvlJc w:val="left"/>
      <w:rPr>
        <w:rFonts w:hint="default" w:ascii="Arial" w:hAnsi="Arial" w:cs="Arial"/>
        <w:b w:val="0"/>
        <w:color w:val="A6A6A6" w:themeColor="background1" w:themeShade="A6"/>
      </w:rPr>
    </w:lvl>
    <w:lvl w:ilvl="3" w:tentative="0">
      <w:start w:val="1"/>
      <w:numFmt w:val="decimal"/>
      <w:lvlText w:val="%1.%2.%3.%4"/>
      <w:lvlJc w:val="left"/>
    </w:lvl>
    <w:lvl w:ilvl="4" w:tentative="0">
      <w:start w:val="1"/>
      <w:numFmt w:val="decimal"/>
      <w:lvlText w:val="%1.%2.%3.%4.%5"/>
      <w:lvlJc w:val="left"/>
    </w:lvl>
    <w:lvl w:ilvl="5" w:tentative="0">
      <w:start w:val="1"/>
      <w:numFmt w:val="decimal"/>
      <w:lvlText w:val="%1.%2.%3.%4.%5.%6"/>
      <w:lvlJc w:val="left"/>
    </w:lvl>
    <w:lvl w:ilvl="6" w:tentative="0">
      <w:start w:val="1"/>
      <w:numFmt w:val="decimal"/>
      <w:lvlText w:val="%1.%2.%3.%4.%5.%6.%7"/>
      <w:lvlJc w:val="left"/>
    </w:lvl>
    <w:lvl w:ilvl="7" w:tentative="0">
      <w:start w:val="1"/>
      <w:numFmt w:val="decimal"/>
      <w:lvlText w:val="%1.%2.%3.%4.%5.%6.%7.%8"/>
      <w:lvlJc w:val="left"/>
    </w:lvl>
    <w:lvl w:ilvl="8" w:tentative="0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062C7"/>
    <w:rsid w:val="345F66A9"/>
    <w:rsid w:val="73A1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numPr>
        <w:ilvl w:val="1"/>
        <w:numId w:val="1"/>
      </w:numPr>
      <w:spacing w:line="288" w:lineRule="auto"/>
      <w:ind w:left="851" w:hanging="851"/>
      <w:jc w:val="both"/>
      <w:outlineLvl w:val="1"/>
    </w:pPr>
    <w:rPr>
      <w:rFonts w:ascii="微软雅黑" w:hAnsi="微软雅黑" w:eastAsia="微软雅黑" w:cs="Times New Roman"/>
      <w:bCs/>
      <w:color w:val="8DC641"/>
      <w:kern w:val="0"/>
      <w:sz w:val="32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Light Grid Accent 3"/>
    <w:basedOn w:val="3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paragraph" w:customStyle="1" w:styleId="6">
    <w:name w:val="表字居中F5"/>
    <w:next w:val="1"/>
    <w:qFormat/>
    <w:uiPriority w:val="0"/>
    <w:pPr>
      <w:adjustRightInd w:val="0"/>
      <w:snapToGrid w:val="0"/>
      <w:jc w:val="center"/>
    </w:pPr>
    <w:rPr>
      <w:rFonts w:ascii="微软雅黑" w:hAnsi="微软雅黑" w:eastAsia="微软雅黑" w:cs="Times New Roman"/>
      <w:color w:val="000000" w:themeColor="text1"/>
      <w:kern w:val="2"/>
      <w:sz w:val="22"/>
      <w:szCs w:val="44"/>
      <w:lang w:val="en-US" w:eastAsia="zh-CN" w:bidi="ar-SA"/>
      <w14:textFill>
        <w14:solidFill>
          <w14:schemeClr w14:val="tx1"/>
        </w14:solidFill>
      </w14:textFill>
    </w:rPr>
  </w:style>
  <w:style w:type="paragraph" w:customStyle="1" w:styleId="7">
    <w:name w:val="表正文左齐F6"/>
    <w:basedOn w:val="6"/>
    <w:qFormat/>
    <w:uiPriority w:val="0"/>
    <w:pPr>
      <w:jc w:val="left"/>
    </w:pPr>
  </w:style>
  <w:style w:type="paragraph" w:styleId="8">
    <w:name w:val="Quote"/>
    <w:next w:val="1"/>
    <w:qFormat/>
    <w:uiPriority w:val="29"/>
    <w:rPr>
      <w:rFonts w:ascii="微软雅黑" w:hAnsi="微软雅黑" w:eastAsia="微软雅黑" w:cstheme="minorBidi"/>
      <w:iCs/>
      <w:color w:val="000000" w:themeColor="text1"/>
      <w:kern w:val="2"/>
      <w:sz w:val="21"/>
      <w:szCs w:val="22"/>
      <w:lang w:val="en-US" w:eastAsia="zh-CN" w:bidi="ar-SA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2021-03-02T16:13:00Z</dcterms:created>
  <dc:creator>Administrator</dc:creator>
  <cp:lastModifiedBy>Sarah阳京华</cp:lastModifiedBy>
  <dcterms:modified xsi:type="dcterms:W3CDTF">2021-05-28T03:03:02Z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C788A2C02BD24A93A179BDB0F61B965B</vt:lpwstr>
  </property>
</Properties>
</file>