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i w:val="0"/>
          <w:iCs w:val="0"/>
          <w:color w:val="943734"/>
          <w:sz w:val="28"/>
          <w:szCs w:val="28"/>
          <w:lang w:val="zh-CN" w:eastAsia="zh-CN"/>
        </w:rPr>
      </w:pPr>
      <w:bookmarkStart w:id="0" w:name="OLE_LINK1"/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10301605</wp:posOffset>
                </wp:positionV>
                <wp:extent cx="2446655" cy="2965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预约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官网：www.timesmba.com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eastAsia="华康雅宋体W9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55pt;margin-top:811.15pt;height:23.35pt;width:192.65pt;z-index:251661312;mso-width-relative:page;mso-height-relative:page;" filled="f" stroked="f" coordsize="21600,21600" o:gfxdata="UEsDBAoAAAAAAIdO4kAAAAAAAAAAAAAAAAAEAAAAZHJzL1BLAwQUAAAACACHTuJAc7erf9kAAAAO&#10;AQAADwAAAGRycy9kb3ducmV2LnhtbE2PwW7CMAyG75N4h8hIu42kGVRQmnIA7bppsE3aLTSmrWic&#10;qgm0e/ulp+1o/59+f853o23ZHXvfOFKQLAQwpNKZhioFH6eXpzUwHzQZ3TpCBT/oYVfMHnKdGTfQ&#10;O96PoWKxhHymFdQhdBnnvqzRar9wHVLMLq63OsSxr7jp9RDLbculECm3uqF4odYd7mssr8ebVfD5&#10;evn+Woq36mBX3eBGwcluuFKP80RsgQUcwx8Mk35UhyI6nd2NjGetgrVcJRGNQSrlM7AJkYlYAjtP&#10;u3QjgBc5//9G8QtQSwMEFAAAAAgAh07iQMfMlJHNAQAAhgMAAA4AAABkcnMvZTJvRG9jLnhtbK1T&#10;zY7TMBC+I/EOlu803aip2KjpSqhaLgiQFh7AdSaNJdtj2W6T8gDwBpy4cOe5+hyMnW63Wi574GKP&#10;5+fzfN/Yq7vRaHYAHxTaht/M5pyBldgqu2v41y/3b95yFqKwrdBooeFHCPxu/frVanA1lNijbsEz&#10;ArGhHlzD+xhdXRRB9mBEmKEDS8EOvRGRjn5XtF4MhG50Uc7ny2JA3zqPEkIg72YK8jOifwkgdp2S&#10;sEG5N2DjhOpBi0iUQq9c4OvcbdeBjJ+6LkBkuuHENOaVLiF7m9ZivRL1zgvXK3luQbykhWecjFCW&#10;Lr1AbUQUbO/VP1BGSY8BuziTaIqJSFaEWNzMn2nz0AsHmQtJHdxF9PD/YOXHw2fPVNvwkjMrDA38&#10;9PPH6def0+/vrEzyDC7UlPXgKC+O73CkR/PoD+RMrMfOm7QTH0ZxEvd4ERfGyCQ5y8ViuawqziTF&#10;yttltagSTPFU7XyI7wENS0bDPQ0vayoOH0KcUh9T0mUW75XWeYDasqHht1VZ5YKriFER/FSrbaqC&#10;/CjOgInbxCFZcdyOlJrMLbZH4kvfhBrp0X/jTFhJRsMjZ3vn1a6nSBaiSAU0nszl/JTS/K/PZF9/&#10;n/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7erf9kAAAAOAQAADwAAAAAAAAABACAAAAAiAAAA&#10;ZHJzL2Rvd25yZXYueG1sUEsBAhQAFAAAAAgAh07iQMfMlJHNAQAAhgMAAA4AAAAAAAAAAQAgAAAA&#10;KAEAAGRycy9lMm9Eb2MueG1sUEsFBgAAAAAGAAYAWQEAAGc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pBdr>
                          <w:bottom w:val="none" w:color="auto" w:sz="0" w:space="0"/>
                        </w:pBdr>
                        <w:jc w:val="both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3"/>
                        <w:pBdr>
                          <w:bottom w:val="none" w:color="auto" w:sz="0" w:space="0"/>
                        </w:pBdr>
                        <w:jc w:val="both"/>
                        <w:rPr>
                          <w:b/>
                          <w:sz w:val="24"/>
                          <w:szCs w:val="24"/>
                          <w:lang w:val="zh-CN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预约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官网：www.timesmba.com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eastAsia="华康雅宋体W9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公司，诚邀贵单位参与《客户关系管理与专业回款技巧》课程！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《客户关系管理与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val="en-US" w:eastAsia="zh-CN"/>
        </w:rPr>
        <w:t>专业回款技巧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7月24-25日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  <w:t>地点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广州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营销总经理/副总、市场总监、大区经理、营销经理/总监等中高层管理者。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【报名咨询】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eastAsia="zh-CN"/>
        </w:rPr>
        <w:t>艾老师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</w:p>
    <w:bookmarkEnd w:id="0"/>
    <w:p>
      <w:pPr>
        <w:shd w:val="clear" w:color="auto" w:fill="D7D7D7"/>
        <w:jc w:val="center"/>
        <w:rPr>
          <w:rFonts w:ascii="微软雅黑" w:hAnsi="微软雅黑" w:eastAsia="微软雅黑"/>
          <w:b/>
          <w:color w:val="C00000"/>
          <w:sz w:val="30"/>
          <w:szCs w:val="30"/>
          <w:lang w:val="en-US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color w:val="C00000"/>
          <w:sz w:val="30"/>
          <w:szCs w:val="30"/>
          <w:lang w:val="en-US" w:eastAsia="zh-CN"/>
        </w:rPr>
        <w:t>程老师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ascii="微软雅黑" w:hAnsi="微软雅黑" w:eastAsia="微软雅黑" w:cs="微软雅黑"/>
          <w:b/>
          <w:bCs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26035</wp:posOffset>
            </wp:positionV>
            <wp:extent cx="1047750" cy="1569720"/>
            <wp:effectExtent l="0" t="0" r="0" b="11430"/>
            <wp:wrapSquare wrapText="bothSides"/>
            <wp:docPr id="8" name="Picture 6" descr="程广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程广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</w:rPr>
        <w:t>营销管理实战派讲师；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清华大学、北京大学、复旦大学等总裁班、营销总监班特聘讲师；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清华大学国家CIMS中心营销管理与创新实战高级研修班主讲老师；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连续七年荣获影响力教育集团年度金牌讲师称号。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Chars="0" w:right="0" w:right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</w:p>
    <w:p>
      <w:pPr>
        <w:shd w:val="clear" w:color="auto" w:fill="D7D7D7"/>
        <w:jc w:val="center"/>
        <w:rPr>
          <w:rFonts w:ascii="微软雅黑" w:hAnsi="微软雅黑" w:eastAsia="微软雅黑"/>
          <w:b/>
          <w:color w:val="C00000"/>
          <w:sz w:val="30"/>
          <w:szCs w:val="30"/>
          <w:lang w:val="en-US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w:t>课程</w:t>
      </w:r>
      <w:r>
        <w:rPr>
          <w:rFonts w:hint="eastAsia" w:ascii="微软雅黑" w:hAnsi="微软雅黑" w:eastAsia="微软雅黑"/>
          <w:b/>
          <w:color w:val="C00000"/>
          <w:sz w:val="30"/>
          <w:szCs w:val="30"/>
          <w:lang w:val="en-US" w:eastAsia="zh-CN"/>
        </w:rPr>
        <w:t>收获</w:t>
      </w:r>
    </w:p>
    <w:p>
      <w:pPr>
        <w:pStyle w:val="6"/>
        <w:numPr>
          <w:ilvl w:val="0"/>
          <w:numId w:val="2"/>
        </w:numPr>
        <w:spacing w:beforeLines="70" w:line="480" w:lineRule="exact"/>
        <w:ind w:firstLineChars="0"/>
        <w:rPr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1.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</w:rPr>
        <w:t xml:space="preserve">获得与现有渠道资源建立伙伴关系的策略和方法。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2.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</w:rPr>
        <w:t xml:space="preserve">掌握科学的渠道关键客户销售流程，从而增加成交的可能。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3.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</w:rPr>
        <w:t>因为将面对一个“采购氛围”，所以大客户销售有其特殊性和复杂性，我们把多年来在内训和公开课中提炼出的有效工具直接教给学员，实践证明，很实用。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4.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</w:rPr>
        <w:t>掌握挖掘客户需求的以“次序技术”为基础的提问技巧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5.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</w:rPr>
        <w:t xml:space="preserve">掌握渠道动力模型，并学会根据自身的营销战略选择适合的渠道模型。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6.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</w:rPr>
        <w:t>防范渠道信用风险，并指导学员找到经济危机中新的利润增长点。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7.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</w:rPr>
        <w:t>通过不同模块的设置，引用大量实例、案例分析和课堂讨论，从理论和操作两方面入手，为渠道管理者提供了清晰的理论认识和实用的操作方法，协助渠道管理人员理性面对挑战。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8.</w:t>
      </w:r>
      <w:r>
        <w:rPr>
          <w:rFonts w:hint="eastAsia"/>
          <w:b w:val="0"/>
          <w:bCs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</w:rPr>
        <w:t>实战模拟、角色扮演、趣味游戏等方式帮您轻松掌握客户接触技巧。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/>
          <w:b/>
          <w:color w:val="C0000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  <w:lang w:val="en-US" w:eastAsia="zh-CN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第一单元</w:t>
      </w: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4种关键客户特征、谈判能力与应对方法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谈判前的几种实用心态调整技巧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工具一：了解4种谈判对手（来自1000天培训课的结晶）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4种谈判对手特征、谈判能力与应对方法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工具二：精准定位4种谈判对手并从容应对的宝典：‘全脑优势图 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找到自己的‘全脑优势图’并判断客户的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6.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详解‘全脑优势图’在实战中的使用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7.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案例讨论：销售谈判结果判断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8. ‘次序技术’提升沟通的针对性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第二单元</w:t>
      </w: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客户关系营销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客户关系管理的定义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关系管理的营销学基础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关注决定客户采购的五个要素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关键客户拓展的六个步骤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销售漏斗与机会管理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 “采购氛围”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案例研讨与分析技巧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第三单元</w:t>
      </w: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公关决策人的“1+1”模型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案例研讨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工具 : “1+1”模型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在客户那里塑造自己的‘个人品牌’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个人品牌影响客户，需要具有3个特征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“喜剧演员法”：争取难得的见面机会，让客户主动想见到你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6.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“留白”+“豹尾”巧妙的取得再次约见的机会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7.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“投其所好法”：争取决策人对我们的支持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第四单元</w:t>
      </w: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渠道客户的攻守模型模型与销售团队的管理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坐商到行商的转变/业务员时代的终结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销售管理者如何分析下属业绩不好的状况？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工具：分析性解决问题4步骤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能力与态度/辅导与激励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有热情更要有技能作为基础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工具：销售管理者解决下属能力问题的5个步骤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销售管理者在下达任务指令时如何应对异议？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工具：Yes,But 接篮球法则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5道经典判断题分析与详解（8年来针对销售管理者的最实用的管理练习题）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第五单元</w:t>
      </w: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渠道信用管理与回款技巧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四种渠道动力模型描述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渠道动力模型的演变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经济危机中企业新的利润增长点——信用管理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营销战略思考：赊销的利弊分析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信用管理部门的合理设置及人员配备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6.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了解对手：如果你是债务人？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7.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4种债务人与3种收款人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8.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渠道商常见拖延借口分析及应对策略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逻辑技术解决客户谈判借口</w:t>
      </w:r>
    </w:p>
    <w:sectPr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0288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m597w7wBAACDAwAADgAAAGRycy9lMm9Eb2MueG1srVNN&#10;b9swDL0P2H8QdF+cDyTrjDg9NMguw1as3Q9QZNoWoC+QSpz8+1FKlnbdpYf5YJMi+cj3KK/vT86K&#10;IyCZ4Bs5m0ylAK9Da3zfyF/Pu093UlBSvlU2eGjkGUjebz5+WI+xhnkYgm0BBYN4qsfYyCGlWFcV&#10;6QGcokmI4DnYBXQqsYt91aIaGd3Zaj6drqoxYBsxaCDi0+0lKK+I+B7A0HVGwzbogwOfLqgIViWm&#10;RIOJJDdl2q4DnX50HUEStpHMNJU3N2F7n9/VZq3qHlUcjL6OoN4zwhtOThnPTW9QW5WUOKD5B8oZ&#10;jYFClyY6uOpCpCjCLGbTN9o8DSpC4cJSU7yJTv8PVn8/PqIwbSNXUnjleOE/WTTlewtimeUZI9Wc&#10;9RQf8eoRm5nrqUOXv8xCnIqk55ukcEpC8+HnxWp+N19KoTk2WywWy6J59VIdkdJXCE5ko5HI3YuS&#10;6viNEnfk1D8puRkFa9qdsbY42O8fLIqj4vXuypNH5pK/0qwXYyO/LHmOXOVDruc8VTuTINPiCuvz&#10;AZQ7c+2cqV/IZmsf2jNrdYho+oEnnZVWOcK7KRDXe5SX/9pn+/W/s/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qeSwNgAAAALAQAADwAAAAAAAAABACAAAAAiAAAAZHJzL2Rvd25yZXYueG1sUEsB&#10;AhQAFAAAAAgAh07iQJufe8O8AQAAgwMAAA4AAAAAAAAAAQAgAAAAJwEAAGRycy9lMm9Eb2MueG1s&#10;UEsFBgAAAAAGAAYAWQEAAFU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B3323"/>
    <w:multiLevelType w:val="multilevel"/>
    <w:tmpl w:val="310B3323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A820FD"/>
    <w:multiLevelType w:val="singleLevel"/>
    <w:tmpl w:val="57A820F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E0E7A"/>
    <w:rsid w:val="01331E45"/>
    <w:rsid w:val="02231D75"/>
    <w:rsid w:val="037F227A"/>
    <w:rsid w:val="09C05201"/>
    <w:rsid w:val="105000F8"/>
    <w:rsid w:val="10882EF5"/>
    <w:rsid w:val="13C86BE9"/>
    <w:rsid w:val="16BA4E6C"/>
    <w:rsid w:val="1807409F"/>
    <w:rsid w:val="184123F5"/>
    <w:rsid w:val="1CC91A29"/>
    <w:rsid w:val="21B52FA0"/>
    <w:rsid w:val="23C52C59"/>
    <w:rsid w:val="25CD7544"/>
    <w:rsid w:val="298B645C"/>
    <w:rsid w:val="29EF3210"/>
    <w:rsid w:val="2C8E193C"/>
    <w:rsid w:val="307820FC"/>
    <w:rsid w:val="31D70D4C"/>
    <w:rsid w:val="32AC1249"/>
    <w:rsid w:val="384F5916"/>
    <w:rsid w:val="3A927921"/>
    <w:rsid w:val="408B1CD0"/>
    <w:rsid w:val="411E1D16"/>
    <w:rsid w:val="44B2535E"/>
    <w:rsid w:val="49352D8E"/>
    <w:rsid w:val="49451AB7"/>
    <w:rsid w:val="4E014A60"/>
    <w:rsid w:val="4F4A4850"/>
    <w:rsid w:val="4F512003"/>
    <w:rsid w:val="515C3FAB"/>
    <w:rsid w:val="52A9707A"/>
    <w:rsid w:val="530D4AC2"/>
    <w:rsid w:val="53F74133"/>
    <w:rsid w:val="55831FE1"/>
    <w:rsid w:val="57666265"/>
    <w:rsid w:val="5B071FD3"/>
    <w:rsid w:val="64294CD5"/>
    <w:rsid w:val="687E065E"/>
    <w:rsid w:val="6D573568"/>
    <w:rsid w:val="74E115BF"/>
    <w:rsid w:val="766F1790"/>
    <w:rsid w:val="7860375C"/>
    <w:rsid w:val="7F873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114</Words>
  <Characters>654</Characters>
  <Lines>5</Lines>
  <Paragraphs>1</Paragraphs>
  <TotalTime>0</TotalTime>
  <ScaleCrop>false</ScaleCrop>
  <LinksUpToDate>false</LinksUpToDate>
  <CharactersWithSpaces>767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时代华商渠道部李嘉敏</cp:lastModifiedBy>
  <dcterms:modified xsi:type="dcterms:W3CDTF">2021-06-15T03:42:32Z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3275803A3BAF4FB7B8170B7CA2E2D4B6</vt:lpwstr>
  </property>
</Properties>
</file>