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color w:val="C00000"/>
          <w:sz w:val="36"/>
          <w:szCs w:val="36"/>
          <w:lang w:val="en-US" w:eastAsia="zh-CN"/>
        </w:rPr>
      </w:pPr>
      <w:r>
        <w:rPr>
          <w:rFonts w:hint="eastAsia" w:ascii="微软雅黑" w:hAnsi="微软雅黑" w:eastAsia="微软雅黑" w:cs="微软雅黑"/>
          <w:b/>
          <w:color w:val="C00000"/>
          <w:sz w:val="36"/>
          <w:szCs w:val="36"/>
          <w:lang w:eastAsia="zh-CN"/>
        </w:rPr>
        <w:t>《</w:t>
      </w:r>
      <w:bookmarkStart w:id="0" w:name="_GoBack"/>
      <w:r>
        <w:rPr>
          <w:rFonts w:hint="eastAsia" w:ascii="微软雅黑" w:hAnsi="微软雅黑" w:eastAsia="微软雅黑" w:cs="微软雅黑"/>
          <w:b/>
          <w:color w:val="C00000"/>
          <w:sz w:val="36"/>
          <w:szCs w:val="36"/>
        </w:rPr>
        <w:t>税改新政下的企业税务风险防范和规划</w:t>
      </w:r>
      <w:bookmarkEnd w:id="0"/>
      <w:r>
        <w:rPr>
          <w:rFonts w:hint="eastAsia" w:ascii="微软雅黑" w:hAnsi="微软雅黑" w:eastAsia="微软雅黑" w:cs="微软雅黑"/>
          <w:b/>
          <w:color w:val="C00000"/>
          <w:sz w:val="36"/>
          <w:szCs w:val="36"/>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bCs/>
          <w:sz w:val="21"/>
          <w:szCs w:val="21"/>
          <w:lang w:val="en-US" w:eastAsia="zh-CN"/>
        </w:rPr>
        <w:t>【课程时间】</w:t>
      </w:r>
      <w:r>
        <w:rPr>
          <w:rFonts w:hint="eastAsia" w:ascii="微软雅黑" w:hAnsi="微软雅黑" w:eastAsia="微软雅黑" w:cs="微软雅黑"/>
          <w:b w:val="0"/>
          <w:bCs w:val="0"/>
          <w:sz w:val="21"/>
          <w:szCs w:val="21"/>
          <w:lang w:val="en-US" w:eastAsia="zh-CN"/>
        </w:rPr>
        <w:t xml:space="preserve">10月20-21日/广州 </w:t>
      </w:r>
      <w:r>
        <w:rPr>
          <w:rFonts w:hint="eastAsia" w:ascii="微软雅黑" w:hAnsi="微软雅黑" w:eastAsia="微软雅黑" w:cs="微软雅黑"/>
          <w:b w:val="0"/>
          <w:bCs w:val="0"/>
          <w:sz w:val="21"/>
          <w:szCs w:val="21"/>
          <w:lang w:val="en-US" w:eastAsia="zh-CN"/>
        </w:rPr>
        <w:br w:type="textWrapping"/>
      </w:r>
      <w:r>
        <w:rPr>
          <w:rFonts w:hint="eastAsia" w:ascii="微软雅黑" w:hAnsi="微软雅黑" w:eastAsia="微软雅黑" w:cs="微软雅黑"/>
          <w:b/>
          <w:bCs/>
          <w:sz w:val="21"/>
          <w:szCs w:val="21"/>
          <w:lang w:val="en-US" w:eastAsia="zh-CN"/>
        </w:rPr>
        <w:t>【培训费用】</w:t>
      </w:r>
      <w:r>
        <w:rPr>
          <w:rFonts w:hint="eastAsia" w:ascii="微软雅黑" w:hAnsi="微软雅黑" w:eastAsia="微软雅黑" w:cs="微软雅黑"/>
          <w:b w:val="0"/>
          <w:bCs w:val="0"/>
          <w:sz w:val="21"/>
          <w:szCs w:val="21"/>
          <w:lang w:val="en-US" w:eastAsia="zh-CN"/>
        </w:rPr>
        <w:t>RMB3800 元/人，会员8张票（含培训费、教材费、税费、茶点）</w:t>
      </w:r>
    </w:p>
    <w:p>
      <w:pPr>
        <w:spacing w:line="360" w:lineRule="auto"/>
        <w:ind w:left="1441" w:hanging="1261" w:hangingChars="60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bCs/>
          <w:sz w:val="21"/>
          <w:szCs w:val="21"/>
          <w:lang w:val="en-US" w:eastAsia="zh-CN"/>
        </w:rPr>
        <w:t>【课程对象】</w:t>
      </w:r>
      <w:r>
        <w:rPr>
          <w:rFonts w:hint="eastAsia" w:ascii="微软雅黑" w:hAnsi="微软雅黑" w:eastAsia="微软雅黑" w:cs="微软雅黑"/>
          <w:b w:val="0"/>
          <w:bCs w:val="0"/>
          <w:sz w:val="21"/>
          <w:szCs w:val="21"/>
          <w:lang w:val="en-US" w:eastAsia="zh-CN"/>
        </w:rPr>
        <w:t>企业负责人、高层管理人员、业务管理人员、生产管理人员、财务人员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sz w:val="21"/>
          <w:szCs w:val="21"/>
        </w:rPr>
      </w:pPr>
      <w:r>
        <w:rPr>
          <w:rFonts w:hint="eastAsia" w:ascii="微软雅黑" w:hAnsi="微软雅黑" w:eastAsia="微软雅黑" w:cs="微软雅黑"/>
          <w:b/>
          <w:bCs/>
          <w:sz w:val="21"/>
          <w:szCs w:val="21"/>
          <w:lang w:val="en-US" w:eastAsia="zh-CN"/>
        </w:rPr>
        <w:t>【报名电话】</w:t>
      </w:r>
      <w:r>
        <w:rPr>
          <w:rFonts w:hint="eastAsia" w:ascii="微软雅黑" w:hAnsi="微软雅黑" w:eastAsia="微软雅黑" w:cs="微软雅黑"/>
          <w:b w:val="0"/>
          <w:bCs w:val="0"/>
          <w:sz w:val="21"/>
          <w:szCs w:val="21"/>
          <w:rtl w:val="0"/>
          <w:lang w:val="zh-TW" w:eastAsia="zh-CN"/>
        </w:rPr>
        <w:t>彩云老师 1</w:t>
      </w:r>
      <w:r>
        <w:rPr>
          <w:rFonts w:hint="eastAsia" w:ascii="微软雅黑" w:hAnsi="微软雅黑" w:eastAsia="微软雅黑" w:cs="微软雅黑"/>
          <w:b w:val="0"/>
          <w:bCs w:val="0"/>
          <w:sz w:val="21"/>
          <w:szCs w:val="21"/>
          <w:rtl w:val="0"/>
          <w:lang w:val="en-US" w:eastAsia="zh-CN"/>
        </w:rPr>
        <w:t>3719291959</w:t>
      </w:r>
    </w:p>
    <w:p>
      <w:pPr>
        <w:spacing w:line="360" w:lineRule="auto"/>
        <w:rPr>
          <w:rFonts w:hint="eastAsia" w:ascii="微软雅黑" w:hAnsi="微软雅黑" w:eastAsia="微软雅黑" w:cs="微软雅黑"/>
          <w:b/>
          <w:color w:val="C00000"/>
          <w:sz w:val="21"/>
          <w:szCs w:val="21"/>
        </w:rPr>
      </w:pPr>
      <w:r>
        <w:rPr>
          <w:rFonts w:hint="eastAsia" w:ascii="微软雅黑" w:hAnsi="微软雅黑" w:eastAsia="微软雅黑" w:cs="微软雅黑"/>
          <w:b/>
          <w:color w:val="C00000"/>
          <w:sz w:val="21"/>
          <w:szCs w:val="21"/>
        </w:rPr>
        <w:t>【课程背景】</w:t>
      </w:r>
    </w:p>
    <w:p>
      <w:pPr>
        <w:snapToGrid w:val="0"/>
        <w:spacing w:line="288" w:lineRule="auto"/>
        <w:ind w:firstLine="420" w:firstLineChars="200"/>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11月13日，国家税务总局发布2020年12月政府采购意向公告，正式官宣金税四期的到来！</w:t>
      </w:r>
    </w:p>
    <w:p>
      <w:pPr>
        <w:snapToGrid w:val="0"/>
        <w:spacing w:line="288" w:lineRule="auto"/>
        <w:ind w:firstLine="420" w:firstLineChars="200"/>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lang w:val="en-US" w:eastAsia="zh-CN"/>
        </w:rPr>
        <w:t>随着国家税务征管手段的进一步增强，</w:t>
      </w:r>
      <w:r>
        <w:rPr>
          <w:rFonts w:hint="eastAsia" w:ascii="微软雅黑" w:hAnsi="微软雅黑" w:eastAsia="微软雅黑" w:cs="微软雅黑"/>
          <w:bCs/>
          <w:color w:val="auto"/>
          <w:sz w:val="21"/>
          <w:szCs w:val="21"/>
        </w:rPr>
        <w:t>税收稽查风险提示</w:t>
      </w:r>
      <w:r>
        <w:rPr>
          <w:rFonts w:hint="eastAsia" w:ascii="微软雅黑" w:hAnsi="微软雅黑" w:eastAsia="微软雅黑" w:cs="微软雅黑"/>
          <w:bCs/>
          <w:color w:val="auto"/>
          <w:sz w:val="21"/>
          <w:szCs w:val="21"/>
          <w:lang w:val="en-US" w:eastAsia="zh-CN"/>
        </w:rPr>
        <w:t>成为</w:t>
      </w:r>
      <w:r>
        <w:rPr>
          <w:rFonts w:hint="eastAsia" w:ascii="微软雅黑" w:hAnsi="微软雅黑" w:eastAsia="微软雅黑" w:cs="微软雅黑"/>
          <w:bCs/>
          <w:color w:val="auto"/>
          <w:sz w:val="21"/>
          <w:szCs w:val="21"/>
        </w:rPr>
        <w:t>近年税务机关着重推行的征管稽查模式，它依托于</w:t>
      </w:r>
      <w:r>
        <w:rPr>
          <w:rFonts w:hint="eastAsia" w:ascii="微软雅黑" w:hAnsi="微软雅黑" w:eastAsia="微软雅黑" w:cs="微软雅黑"/>
          <w:bCs/>
          <w:color w:val="auto"/>
          <w:sz w:val="21"/>
          <w:szCs w:val="21"/>
          <w:lang w:val="en-US" w:eastAsia="zh-CN"/>
        </w:rPr>
        <w:t>金税三期和四期的</w:t>
      </w:r>
      <w:r>
        <w:rPr>
          <w:rFonts w:hint="eastAsia" w:ascii="微软雅黑" w:hAnsi="微软雅黑" w:eastAsia="微软雅黑" w:cs="微软雅黑"/>
          <w:bCs/>
          <w:color w:val="auto"/>
          <w:sz w:val="21"/>
          <w:szCs w:val="21"/>
        </w:rPr>
        <w:t>信息化技术进行税收风险的监控：一方面，在网上办税厅企业所得税年度申报模块嵌入申报信息风险提示功能，通过数据扫描，给予纳税人辅导及相关风险提示，通过网端来协助和指导纳税人正确理解税法规定，使纳税人发挥主观能动性，提高纳税遵从度；另一方面，风险信息的监控也为税务稽查选案以及日常税收风险的排查提供有交往的抓手，是同一事物在不同方面的应用。</w:t>
      </w:r>
    </w:p>
    <w:p>
      <w:pPr>
        <w:spacing w:line="360" w:lineRule="auto"/>
        <w:ind w:firstLine="420" w:firstLineChars="200"/>
        <w:rPr>
          <w:rFonts w:hint="eastAsia" w:ascii="微软雅黑" w:hAnsi="微软雅黑" w:eastAsia="微软雅黑" w:cs="微软雅黑"/>
          <w:b/>
          <w:color w:val="C00000"/>
          <w:sz w:val="21"/>
          <w:szCs w:val="21"/>
        </w:rPr>
      </w:pPr>
      <w:r>
        <w:rPr>
          <w:rFonts w:hint="eastAsia" w:ascii="微软雅黑" w:hAnsi="微软雅黑" w:eastAsia="微软雅黑" w:cs="微软雅黑"/>
          <w:bCs/>
          <w:color w:val="auto"/>
          <w:sz w:val="21"/>
          <w:szCs w:val="21"/>
          <w:lang w:val="en-US" w:eastAsia="zh-CN"/>
        </w:rPr>
        <w:t>因此，</w:t>
      </w:r>
      <w:r>
        <w:rPr>
          <w:rFonts w:hint="eastAsia" w:ascii="微软雅黑" w:hAnsi="微软雅黑" w:eastAsia="微软雅黑" w:cs="微软雅黑"/>
          <w:bCs/>
          <w:color w:val="auto"/>
          <w:sz w:val="21"/>
          <w:szCs w:val="21"/>
        </w:rPr>
        <w:t>纳税人</w:t>
      </w:r>
      <w:r>
        <w:rPr>
          <w:rFonts w:hint="eastAsia" w:ascii="微软雅黑" w:hAnsi="微软雅黑" w:eastAsia="微软雅黑" w:cs="微软雅黑"/>
          <w:bCs/>
          <w:color w:val="auto"/>
          <w:sz w:val="21"/>
          <w:szCs w:val="21"/>
          <w:lang w:val="en-US" w:eastAsia="zh-CN"/>
        </w:rPr>
        <w:t>要能了解</w:t>
      </w:r>
      <w:r>
        <w:rPr>
          <w:rFonts w:hint="eastAsia" w:ascii="微软雅黑" w:hAnsi="微软雅黑" w:eastAsia="微软雅黑" w:cs="微软雅黑"/>
          <w:bCs/>
          <w:color w:val="auto"/>
          <w:sz w:val="21"/>
          <w:szCs w:val="21"/>
        </w:rPr>
        <w:t>税收稽查风险</w:t>
      </w:r>
      <w:r>
        <w:rPr>
          <w:rFonts w:hint="eastAsia" w:ascii="微软雅黑" w:hAnsi="微软雅黑" w:eastAsia="微软雅黑" w:cs="微软雅黑"/>
          <w:bCs/>
          <w:color w:val="auto"/>
          <w:sz w:val="21"/>
          <w:szCs w:val="21"/>
          <w:lang w:val="en-US" w:eastAsia="zh-CN"/>
        </w:rPr>
        <w:t>关注的重点指标，在日常税务和财管工作中和企业所得税汇算清缴时关注重要指标，针对重点指标进行风险梳理，及时“阻断”</w:t>
      </w:r>
      <w:r>
        <w:rPr>
          <w:rFonts w:hint="eastAsia" w:ascii="微软雅黑" w:hAnsi="微软雅黑" w:eastAsia="微软雅黑" w:cs="微软雅黑"/>
          <w:bCs/>
          <w:color w:val="auto"/>
          <w:sz w:val="21"/>
          <w:szCs w:val="21"/>
        </w:rPr>
        <w:t>税务稽查风险</w:t>
      </w:r>
      <w:r>
        <w:rPr>
          <w:rFonts w:hint="eastAsia" w:ascii="微软雅黑" w:hAnsi="微软雅黑" w:eastAsia="微软雅黑" w:cs="微软雅黑"/>
          <w:bCs/>
          <w:color w:val="auto"/>
          <w:sz w:val="21"/>
          <w:szCs w:val="21"/>
          <w:lang w:val="en-US" w:eastAsia="zh-CN"/>
        </w:rPr>
        <w:t>。</w:t>
      </w:r>
    </w:p>
    <w:p>
      <w:pPr>
        <w:spacing w:line="360" w:lineRule="auto"/>
        <w:rPr>
          <w:rFonts w:hint="eastAsia" w:ascii="微软雅黑" w:hAnsi="微软雅黑" w:eastAsia="微软雅黑" w:cs="微软雅黑"/>
          <w:b/>
          <w:color w:val="C00000"/>
          <w:sz w:val="21"/>
          <w:szCs w:val="21"/>
        </w:rPr>
      </w:pPr>
      <w:r>
        <w:rPr>
          <w:rFonts w:hint="eastAsia" w:ascii="微软雅黑" w:hAnsi="微软雅黑" w:eastAsia="微软雅黑" w:cs="微软雅黑"/>
          <w:b/>
          <w:color w:val="C00000"/>
          <w:sz w:val="21"/>
          <w:szCs w:val="21"/>
        </w:rPr>
        <w:t>【课程</w:t>
      </w:r>
      <w:r>
        <w:rPr>
          <w:rFonts w:hint="eastAsia" w:ascii="微软雅黑" w:hAnsi="微软雅黑" w:eastAsia="微软雅黑" w:cs="微软雅黑"/>
          <w:b/>
          <w:color w:val="C00000"/>
          <w:sz w:val="21"/>
          <w:szCs w:val="21"/>
          <w:lang w:eastAsia="zh-CN"/>
        </w:rPr>
        <w:t>收益</w:t>
      </w:r>
      <w:r>
        <w:rPr>
          <w:rFonts w:hint="eastAsia" w:ascii="微软雅黑" w:hAnsi="微软雅黑" w:eastAsia="微软雅黑" w:cs="微软雅黑"/>
          <w:b/>
          <w:color w:val="C00000"/>
          <w:sz w:val="21"/>
          <w:szCs w:val="21"/>
        </w:rPr>
        <w:t>】</w:t>
      </w:r>
    </w:p>
    <w:p>
      <w:pPr>
        <w:adjustRightInd w:val="0"/>
        <w:snapToGrid w:val="0"/>
        <w:spacing w:line="288" w:lineRule="auto"/>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rPr>
        <w:t>1、</w:t>
      </w:r>
      <w:r>
        <w:rPr>
          <w:rFonts w:hint="eastAsia" w:ascii="微软雅黑" w:hAnsi="微软雅黑" w:eastAsia="微软雅黑" w:cs="微软雅黑"/>
          <w:color w:val="auto"/>
          <w:sz w:val="21"/>
          <w:szCs w:val="21"/>
          <w:lang w:val="en-US" w:eastAsia="zh-CN"/>
        </w:rPr>
        <w:t>及时掌握金税四期运行的动向</w:t>
      </w:r>
    </w:p>
    <w:p>
      <w:pPr>
        <w:adjustRightInd w:val="0"/>
        <w:snapToGrid w:val="0"/>
        <w:spacing w:line="288" w:lineRule="auto"/>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2、</w:t>
      </w:r>
      <w:r>
        <w:rPr>
          <w:rFonts w:hint="eastAsia" w:ascii="微软雅黑" w:hAnsi="微软雅黑" w:eastAsia="微软雅黑" w:cs="微软雅黑"/>
          <w:color w:val="auto"/>
          <w:sz w:val="21"/>
          <w:szCs w:val="21"/>
        </w:rPr>
        <w:t>近距离掌握金税三期的运行逻辑</w:t>
      </w:r>
    </w:p>
    <w:p>
      <w:pPr>
        <w:adjustRightInd w:val="0"/>
        <w:snapToGrid w:val="0"/>
        <w:spacing w:line="288" w:lineRule="auto"/>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3</w:t>
      </w:r>
      <w:r>
        <w:rPr>
          <w:rFonts w:hint="eastAsia" w:ascii="微软雅黑" w:hAnsi="微软雅黑" w:eastAsia="微软雅黑" w:cs="微软雅黑"/>
          <w:color w:val="auto"/>
          <w:sz w:val="21"/>
          <w:szCs w:val="21"/>
        </w:rPr>
        <w:t>、掌握金税三期筛查的主要指标</w:t>
      </w:r>
    </w:p>
    <w:p>
      <w:pPr>
        <w:adjustRightInd w:val="0"/>
        <w:snapToGrid w:val="0"/>
        <w:spacing w:line="288" w:lineRule="auto"/>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4</w:t>
      </w:r>
      <w:r>
        <w:rPr>
          <w:rFonts w:hint="eastAsia" w:ascii="微软雅黑" w:hAnsi="微软雅黑" w:eastAsia="微软雅黑" w:cs="微软雅黑"/>
          <w:color w:val="auto"/>
          <w:sz w:val="21"/>
          <w:szCs w:val="21"/>
        </w:rPr>
        <w:t>、针对金税三期的筛查做好汇算清缴自查</w:t>
      </w:r>
    </w:p>
    <w:p>
      <w:pPr>
        <w:adjustRightInd w:val="0"/>
        <w:snapToGrid w:val="0"/>
        <w:spacing w:line="288" w:lineRule="auto"/>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5</w:t>
      </w:r>
      <w:r>
        <w:rPr>
          <w:rFonts w:hint="eastAsia" w:ascii="微软雅黑" w:hAnsi="微软雅黑" w:eastAsia="微软雅黑" w:cs="微软雅黑"/>
          <w:color w:val="auto"/>
          <w:sz w:val="21"/>
          <w:szCs w:val="21"/>
        </w:rPr>
        <w:t>、运用合理的智能工具规避所得税汇缴筛查风险</w:t>
      </w:r>
    </w:p>
    <w:p>
      <w:pPr>
        <w:adjustRightInd w:val="0"/>
        <w:snapToGrid w:val="0"/>
        <w:spacing w:line="288" w:lineRule="auto"/>
        <w:jc w:val="left"/>
        <w:rPr>
          <w:rStyle w:val="9"/>
          <w:rFonts w:hint="eastAsia" w:ascii="微软雅黑" w:hAnsi="微软雅黑" w:eastAsia="微软雅黑" w:cs="微软雅黑"/>
          <w:b w:val="0"/>
          <w:color w:val="000000"/>
          <w:sz w:val="21"/>
          <w:szCs w:val="21"/>
        </w:rPr>
      </w:pPr>
      <w:r>
        <w:rPr>
          <w:rFonts w:hint="eastAsia" w:ascii="微软雅黑" w:hAnsi="微软雅黑" w:eastAsia="微软雅黑" w:cs="微软雅黑"/>
          <w:color w:val="auto"/>
          <w:sz w:val="21"/>
          <w:szCs w:val="21"/>
          <w:lang w:val="en-US" w:eastAsia="zh-CN"/>
        </w:rPr>
        <w:t>6、合法合规下的税务筹划</w:t>
      </w:r>
    </w:p>
    <w:p>
      <w:pPr>
        <w:spacing w:line="360" w:lineRule="auto"/>
        <w:rPr>
          <w:rFonts w:hint="eastAsia" w:ascii="微软雅黑" w:hAnsi="微软雅黑" w:eastAsia="微软雅黑" w:cs="微软雅黑"/>
          <w:bCs/>
          <w:color w:val="C00000"/>
          <w:sz w:val="21"/>
          <w:szCs w:val="21"/>
        </w:rPr>
      </w:pPr>
      <w:r>
        <w:rPr>
          <w:rFonts w:hint="eastAsia" w:ascii="微软雅黑" w:hAnsi="微软雅黑" w:eastAsia="微软雅黑" w:cs="微软雅黑"/>
          <w:b/>
          <w:color w:val="C00000"/>
          <w:sz w:val="21"/>
          <w:szCs w:val="21"/>
        </w:rPr>
        <w:t>【课程</w:t>
      </w:r>
      <w:r>
        <w:rPr>
          <w:rFonts w:hint="eastAsia" w:ascii="微软雅黑" w:hAnsi="微软雅黑" w:eastAsia="微软雅黑" w:cs="微软雅黑"/>
          <w:b/>
          <w:color w:val="C00000"/>
          <w:sz w:val="21"/>
          <w:szCs w:val="21"/>
          <w:lang w:eastAsia="zh-CN"/>
        </w:rPr>
        <w:t>大纲</w:t>
      </w:r>
      <w:r>
        <w:rPr>
          <w:rFonts w:hint="eastAsia" w:ascii="微软雅黑" w:hAnsi="微软雅黑" w:eastAsia="微软雅黑" w:cs="微软雅黑"/>
          <w:b/>
          <w:color w:val="C00000"/>
          <w:sz w:val="21"/>
          <w:szCs w:val="21"/>
        </w:rPr>
        <w:t>】</w:t>
      </w:r>
    </w:p>
    <w:p>
      <w:pPr>
        <w:pStyle w:val="2"/>
        <w:shd w:val="clear" w:color="auto" w:fill="FFFFFF"/>
        <w:autoSpaceDE/>
        <w:autoSpaceDN/>
        <w:adjustRightInd/>
        <w:snapToGrid w:val="0"/>
        <w:spacing w:line="264" w:lineRule="auto"/>
        <w:ind w:left="0" w:firstLine="0"/>
        <w:rPr>
          <w:rFonts w:hint="eastAsia" w:ascii="微软雅黑" w:hAnsi="微软雅黑" w:eastAsia="微软雅黑" w:cs="微软雅黑"/>
          <w:b/>
          <w:bCs w:val="0"/>
          <w:color w:val="auto"/>
          <w:spacing w:val="8"/>
          <w:sz w:val="21"/>
          <w:szCs w:val="21"/>
          <w:lang w:val="en-US" w:eastAsia="zh-CN"/>
        </w:rPr>
      </w:pPr>
      <w:r>
        <w:rPr>
          <w:rFonts w:hint="eastAsia" w:ascii="微软雅黑" w:hAnsi="微软雅黑" w:eastAsia="微软雅黑" w:cs="微软雅黑"/>
          <w:b/>
          <w:bCs w:val="0"/>
          <w:color w:val="auto"/>
          <w:spacing w:val="8"/>
          <w:sz w:val="21"/>
          <w:szCs w:val="21"/>
          <w:lang w:val="en-US"/>
        </w:rPr>
        <w:t>第</w:t>
      </w:r>
      <w:r>
        <w:rPr>
          <w:rFonts w:hint="eastAsia" w:ascii="微软雅黑" w:hAnsi="微软雅黑" w:eastAsia="微软雅黑" w:cs="微软雅黑"/>
          <w:b/>
          <w:bCs w:val="0"/>
          <w:color w:val="auto"/>
          <w:spacing w:val="8"/>
          <w:sz w:val="21"/>
          <w:szCs w:val="21"/>
          <w:lang w:val="en-US" w:eastAsia="zh-CN"/>
        </w:rPr>
        <w:t>一</w:t>
      </w:r>
      <w:r>
        <w:rPr>
          <w:rFonts w:hint="eastAsia" w:ascii="微软雅黑" w:hAnsi="微软雅黑" w:eastAsia="微软雅黑" w:cs="微软雅黑"/>
          <w:b/>
          <w:bCs w:val="0"/>
          <w:color w:val="auto"/>
          <w:spacing w:val="8"/>
          <w:sz w:val="21"/>
          <w:szCs w:val="21"/>
          <w:lang w:val="en-US"/>
        </w:rPr>
        <w:t>部分：</w:t>
      </w:r>
      <w:r>
        <w:rPr>
          <w:rFonts w:hint="eastAsia" w:ascii="微软雅黑" w:hAnsi="微软雅黑" w:eastAsia="微软雅黑" w:cs="微软雅黑"/>
          <w:b/>
          <w:bCs w:val="0"/>
          <w:color w:val="auto"/>
          <w:spacing w:val="8"/>
          <w:sz w:val="21"/>
          <w:szCs w:val="21"/>
          <w:lang w:val="en-US" w:eastAsia="zh-CN"/>
        </w:rPr>
        <w:t>税改新政解读与老板必备财税规划思维</w:t>
      </w:r>
    </w:p>
    <w:p>
      <w:pPr>
        <w:pStyle w:val="2"/>
        <w:shd w:val="clear" w:color="auto" w:fill="FFFFFF"/>
        <w:autoSpaceDE/>
        <w:autoSpaceDN/>
        <w:adjustRightInd/>
        <w:snapToGrid w:val="0"/>
        <w:spacing w:line="264" w:lineRule="auto"/>
        <w:ind w:left="0" w:firstLine="0"/>
        <w:rPr>
          <w:rFonts w:hint="eastAsia" w:ascii="微软雅黑" w:hAnsi="微软雅黑" w:eastAsia="微软雅黑" w:cs="微软雅黑"/>
          <w:bCs/>
          <w:color w:val="auto"/>
          <w:spacing w:val="8"/>
          <w:sz w:val="21"/>
          <w:szCs w:val="21"/>
          <w:lang w:val="en-US" w:eastAsia="zh-CN"/>
        </w:rPr>
      </w:pPr>
      <w:r>
        <w:rPr>
          <w:rFonts w:hint="eastAsia" w:ascii="微软雅黑" w:hAnsi="微软雅黑" w:eastAsia="微软雅黑" w:cs="微软雅黑"/>
          <w:bCs/>
          <w:color w:val="auto"/>
          <w:spacing w:val="8"/>
          <w:sz w:val="21"/>
          <w:szCs w:val="21"/>
          <w:lang w:val="en-US" w:eastAsia="zh-CN"/>
        </w:rPr>
        <w:t>一、近年来税收政策改革概述</w:t>
      </w:r>
      <w:r>
        <w:rPr>
          <w:rFonts w:hint="eastAsia" w:ascii="微软雅黑" w:hAnsi="微软雅黑" w:eastAsia="微软雅黑" w:cs="微软雅黑"/>
          <w:bCs/>
          <w:color w:val="auto"/>
          <w:spacing w:val="8"/>
          <w:sz w:val="21"/>
          <w:szCs w:val="21"/>
          <w:lang w:val="en-US"/>
        </w:rPr>
        <w:br w:type="textWrapping"/>
      </w:r>
      <w:r>
        <w:rPr>
          <w:rFonts w:hint="eastAsia" w:ascii="微软雅黑" w:hAnsi="微软雅黑" w:eastAsia="微软雅黑" w:cs="微软雅黑"/>
          <w:bCs/>
          <w:color w:val="auto"/>
          <w:spacing w:val="8"/>
          <w:sz w:val="21"/>
          <w:szCs w:val="21"/>
          <w:lang w:val="en-US" w:eastAsia="zh-CN"/>
        </w:rPr>
        <w:t>1、国内外税改关键词；2、两会后最新税收政策动态；3、下一步税收政策改革研判；4、热点分析：企业如何应对并把握税收政策改革背后的趋势？</w:t>
      </w:r>
    </w:p>
    <w:p>
      <w:pPr>
        <w:pStyle w:val="2"/>
        <w:shd w:val="clear" w:color="auto" w:fill="FFFFFF"/>
        <w:autoSpaceDE/>
        <w:autoSpaceDN/>
        <w:adjustRightInd/>
        <w:snapToGrid w:val="0"/>
        <w:spacing w:line="264" w:lineRule="auto"/>
        <w:ind w:left="0" w:firstLine="0"/>
        <w:rPr>
          <w:rFonts w:hint="eastAsia" w:ascii="微软雅黑" w:hAnsi="微软雅黑" w:eastAsia="微软雅黑" w:cs="微软雅黑"/>
          <w:bCs/>
          <w:color w:val="auto"/>
          <w:spacing w:val="8"/>
          <w:sz w:val="21"/>
          <w:szCs w:val="21"/>
          <w:lang w:val="en-US" w:eastAsia="zh-CN"/>
        </w:rPr>
      </w:pPr>
      <w:r>
        <w:rPr>
          <w:rFonts w:hint="eastAsia" w:ascii="微软雅黑" w:hAnsi="微软雅黑" w:eastAsia="微软雅黑" w:cs="微软雅黑"/>
          <w:bCs/>
          <w:color w:val="auto"/>
          <w:spacing w:val="8"/>
          <w:sz w:val="21"/>
          <w:szCs w:val="21"/>
          <w:lang w:val="en-US" w:eastAsia="zh-CN"/>
        </w:rPr>
        <w:t>二、老板必备的财税规划思维</w:t>
      </w:r>
    </w:p>
    <w:p>
      <w:pPr>
        <w:pStyle w:val="2"/>
        <w:shd w:val="clear" w:color="auto" w:fill="FFFFFF"/>
        <w:autoSpaceDE/>
        <w:autoSpaceDN/>
        <w:adjustRightInd/>
        <w:snapToGrid w:val="0"/>
        <w:spacing w:line="264" w:lineRule="auto"/>
        <w:ind w:left="0" w:firstLine="0"/>
        <w:rPr>
          <w:rFonts w:hint="eastAsia" w:ascii="微软雅黑" w:hAnsi="微软雅黑" w:eastAsia="微软雅黑" w:cs="微软雅黑"/>
          <w:bCs/>
          <w:color w:val="auto"/>
          <w:spacing w:val="8"/>
          <w:sz w:val="21"/>
          <w:szCs w:val="21"/>
          <w:lang w:val="en-US" w:eastAsia="zh-CN"/>
        </w:rPr>
      </w:pPr>
      <w:r>
        <w:rPr>
          <w:rFonts w:hint="eastAsia" w:ascii="微软雅黑" w:hAnsi="微软雅黑" w:eastAsia="微软雅黑" w:cs="微软雅黑"/>
          <w:bCs/>
          <w:color w:val="auto"/>
          <w:spacing w:val="8"/>
          <w:sz w:val="21"/>
          <w:szCs w:val="21"/>
          <w:lang w:val="en-US" w:eastAsia="zh-CN"/>
        </w:rPr>
        <w:t>1、老板必备的六大财税规划思维；2、老板财务规划的三重境界和其中潜藏的风险</w:t>
      </w:r>
    </w:p>
    <w:p>
      <w:pPr>
        <w:rPr>
          <w:rFonts w:hint="eastAsia" w:ascii="微软雅黑" w:hAnsi="微软雅黑" w:eastAsia="微软雅黑" w:cs="微软雅黑"/>
          <w:bCs/>
          <w:color w:val="auto"/>
          <w:spacing w:val="8"/>
          <w:sz w:val="21"/>
          <w:szCs w:val="21"/>
          <w:lang w:val="en-US" w:eastAsia="zh-CN"/>
        </w:rPr>
      </w:pPr>
    </w:p>
    <w:p>
      <w:pPr>
        <w:pStyle w:val="2"/>
        <w:shd w:val="clear" w:color="auto" w:fill="FFFFFF"/>
        <w:autoSpaceDE/>
        <w:autoSpaceDN/>
        <w:adjustRightInd/>
        <w:snapToGrid w:val="0"/>
        <w:spacing w:line="264" w:lineRule="auto"/>
        <w:ind w:left="0" w:firstLine="0"/>
        <w:rPr>
          <w:rFonts w:hint="eastAsia" w:ascii="微软雅黑" w:hAnsi="微软雅黑" w:eastAsia="微软雅黑" w:cs="微软雅黑"/>
          <w:b/>
          <w:bCs w:val="0"/>
          <w:color w:val="auto"/>
          <w:spacing w:val="8"/>
          <w:sz w:val="21"/>
          <w:szCs w:val="21"/>
          <w:lang w:val="en-US" w:eastAsia="zh-CN"/>
        </w:rPr>
      </w:pPr>
      <w:r>
        <w:rPr>
          <w:rFonts w:hint="eastAsia" w:ascii="微软雅黑" w:hAnsi="微软雅黑" w:eastAsia="微软雅黑" w:cs="微软雅黑"/>
          <w:b/>
          <w:bCs w:val="0"/>
          <w:color w:val="auto"/>
          <w:sz w:val="21"/>
          <w:szCs w:val="21"/>
        </w:rPr>
        <w:t>第</w:t>
      </w:r>
      <w:r>
        <w:rPr>
          <w:rFonts w:hint="eastAsia" w:ascii="微软雅黑" w:hAnsi="微软雅黑" w:eastAsia="微软雅黑" w:cs="微软雅黑"/>
          <w:b/>
          <w:bCs w:val="0"/>
          <w:color w:val="auto"/>
          <w:sz w:val="21"/>
          <w:szCs w:val="21"/>
          <w:lang w:val="en-US" w:eastAsia="zh-CN"/>
        </w:rPr>
        <w:t>二</w:t>
      </w:r>
      <w:r>
        <w:rPr>
          <w:rFonts w:hint="eastAsia" w:ascii="微软雅黑" w:hAnsi="微软雅黑" w:eastAsia="微软雅黑" w:cs="微软雅黑"/>
          <w:b/>
          <w:bCs w:val="0"/>
          <w:color w:val="auto"/>
          <w:sz w:val="21"/>
          <w:szCs w:val="21"/>
        </w:rPr>
        <w:t>部分：</w:t>
      </w:r>
      <w:r>
        <w:rPr>
          <w:rFonts w:hint="eastAsia" w:ascii="微软雅黑" w:hAnsi="微软雅黑" w:eastAsia="微软雅黑" w:cs="微软雅黑"/>
          <w:b/>
          <w:bCs w:val="0"/>
          <w:color w:val="auto"/>
          <w:spacing w:val="8"/>
          <w:sz w:val="21"/>
          <w:szCs w:val="21"/>
          <w:lang w:val="en-US" w:eastAsia="zh-CN"/>
        </w:rPr>
        <w:t>集团架构搭建和企业个体注册时的税务筹划</w:t>
      </w:r>
    </w:p>
    <w:p>
      <w:pPr>
        <w:pStyle w:val="2"/>
        <w:shd w:val="clear" w:color="auto" w:fill="FFFFFF"/>
        <w:autoSpaceDE/>
        <w:autoSpaceDN/>
        <w:adjustRightInd/>
        <w:snapToGrid w:val="0"/>
        <w:spacing w:line="264" w:lineRule="auto"/>
        <w:ind w:left="0" w:firstLine="0"/>
        <w:rPr>
          <w:rFonts w:hint="eastAsia" w:ascii="微软雅黑" w:hAnsi="微软雅黑" w:eastAsia="微软雅黑" w:cs="微软雅黑"/>
          <w:bCs/>
          <w:color w:val="auto"/>
          <w:spacing w:val="8"/>
          <w:sz w:val="21"/>
          <w:szCs w:val="21"/>
          <w:lang w:val="en-US"/>
        </w:rPr>
      </w:pPr>
      <w:r>
        <w:rPr>
          <w:rFonts w:hint="eastAsia" w:ascii="微软雅黑" w:hAnsi="微软雅黑" w:eastAsia="微软雅黑" w:cs="微软雅黑"/>
          <w:bCs/>
          <w:color w:val="auto"/>
          <w:spacing w:val="8"/>
          <w:sz w:val="21"/>
          <w:szCs w:val="21"/>
          <w:lang w:val="en-US"/>
        </w:rPr>
        <w:t>一、实行注册资本认缴登记制</w:t>
      </w:r>
    </w:p>
    <w:p>
      <w:pPr>
        <w:pStyle w:val="2"/>
        <w:shd w:val="clear" w:color="auto" w:fill="FFFFFF"/>
        <w:autoSpaceDE/>
        <w:autoSpaceDN/>
        <w:adjustRightInd/>
        <w:snapToGrid w:val="0"/>
        <w:spacing w:line="264" w:lineRule="auto"/>
        <w:ind w:left="0" w:firstLine="0"/>
        <w:rPr>
          <w:rFonts w:hint="eastAsia" w:ascii="微软雅黑" w:hAnsi="微软雅黑" w:eastAsia="微软雅黑" w:cs="微软雅黑"/>
          <w:bCs/>
          <w:color w:val="auto"/>
          <w:spacing w:val="8"/>
          <w:sz w:val="21"/>
          <w:szCs w:val="21"/>
          <w:lang w:val="en-US"/>
        </w:rPr>
      </w:pPr>
      <w:r>
        <w:rPr>
          <w:rFonts w:hint="eastAsia" w:ascii="微软雅黑" w:hAnsi="微软雅黑" w:eastAsia="微软雅黑" w:cs="微软雅黑"/>
          <w:bCs/>
          <w:color w:val="auto"/>
          <w:spacing w:val="8"/>
          <w:sz w:val="21"/>
          <w:szCs w:val="21"/>
          <w:lang w:val="en-US"/>
        </w:rPr>
        <w:t>1、实行注册资本认缴登记制（抽逃资金的风险）；2、企业信息公示制度改革对多套报表的影响；3、注册资本认缴制度账务处理、涉税事项（案例分析）；4、企业认缴制下债转股风险应对及规避；5、税务局2021年开展个人股权转让合规检查</w:t>
      </w:r>
    </w:p>
    <w:p>
      <w:pPr>
        <w:pStyle w:val="2"/>
        <w:shd w:val="clear" w:color="auto" w:fill="FFFFFF"/>
        <w:autoSpaceDE/>
        <w:autoSpaceDN/>
        <w:adjustRightInd/>
        <w:snapToGrid w:val="0"/>
        <w:spacing w:line="264" w:lineRule="auto"/>
        <w:ind w:left="0" w:firstLine="0"/>
        <w:rPr>
          <w:rFonts w:hint="eastAsia" w:ascii="微软雅黑" w:hAnsi="微软雅黑" w:eastAsia="微软雅黑" w:cs="微软雅黑"/>
          <w:bCs/>
          <w:color w:val="auto"/>
          <w:spacing w:val="8"/>
          <w:sz w:val="21"/>
          <w:szCs w:val="21"/>
          <w:lang w:val="en-US"/>
        </w:rPr>
      </w:pPr>
      <w:r>
        <w:rPr>
          <w:rFonts w:hint="eastAsia" w:ascii="微软雅黑" w:hAnsi="微软雅黑" w:eastAsia="微软雅黑" w:cs="微软雅黑"/>
          <w:bCs/>
          <w:color w:val="auto"/>
          <w:spacing w:val="8"/>
          <w:sz w:val="21"/>
          <w:szCs w:val="21"/>
          <w:lang w:val="en-US"/>
        </w:rPr>
        <w:t>二、筹建活动中的账务处理与税务处理</w:t>
      </w:r>
    </w:p>
    <w:p>
      <w:pPr>
        <w:pStyle w:val="2"/>
        <w:shd w:val="clear" w:color="auto" w:fill="FFFFFF"/>
        <w:autoSpaceDE/>
        <w:autoSpaceDN/>
        <w:adjustRightInd/>
        <w:snapToGrid w:val="0"/>
        <w:spacing w:line="264" w:lineRule="auto"/>
        <w:ind w:left="0" w:firstLine="0"/>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pacing w:val="8"/>
          <w:sz w:val="21"/>
          <w:szCs w:val="21"/>
          <w:lang w:val="en-US" w:eastAsia="zh-CN"/>
        </w:rPr>
        <w:t>1、集团顶层搭建时要考虑的战略目标和税务筹划；2</w:t>
      </w:r>
      <w:r>
        <w:rPr>
          <w:rFonts w:hint="eastAsia" w:ascii="微软雅黑" w:hAnsi="微软雅黑" w:eastAsia="微软雅黑" w:cs="微软雅黑"/>
          <w:bCs/>
          <w:color w:val="auto"/>
          <w:spacing w:val="8"/>
          <w:sz w:val="21"/>
          <w:szCs w:val="21"/>
          <w:lang w:val="en-US"/>
        </w:rPr>
        <w:t>、</w:t>
      </w:r>
      <w:r>
        <w:rPr>
          <w:rFonts w:hint="eastAsia" w:ascii="微软雅黑" w:hAnsi="微软雅黑" w:eastAsia="微软雅黑" w:cs="微软雅黑"/>
          <w:bCs/>
          <w:color w:val="auto"/>
          <w:spacing w:val="8"/>
          <w:sz w:val="21"/>
          <w:szCs w:val="21"/>
          <w:lang w:val="en-US" w:eastAsia="zh-CN"/>
        </w:rPr>
        <w:t>个体</w:t>
      </w:r>
      <w:r>
        <w:rPr>
          <w:rFonts w:hint="eastAsia" w:ascii="微软雅黑" w:hAnsi="微软雅黑" w:eastAsia="微软雅黑" w:cs="微软雅黑"/>
          <w:bCs/>
          <w:color w:val="auto"/>
          <w:spacing w:val="8"/>
          <w:sz w:val="21"/>
          <w:szCs w:val="21"/>
          <w:lang w:val="en-US"/>
        </w:rPr>
        <w:t>注册时要考虑的税收问题；</w:t>
      </w:r>
      <w:r>
        <w:rPr>
          <w:rFonts w:hint="eastAsia" w:ascii="微软雅黑" w:hAnsi="微软雅黑" w:eastAsia="微软雅黑" w:cs="微软雅黑"/>
          <w:bCs/>
          <w:color w:val="auto"/>
          <w:spacing w:val="8"/>
          <w:sz w:val="21"/>
          <w:szCs w:val="21"/>
          <w:lang w:val="en-US" w:eastAsia="zh-CN"/>
        </w:rPr>
        <w:t>3</w:t>
      </w:r>
      <w:r>
        <w:rPr>
          <w:rFonts w:hint="eastAsia" w:ascii="微软雅黑" w:hAnsi="微软雅黑" w:eastAsia="微软雅黑" w:cs="微软雅黑"/>
          <w:bCs/>
          <w:color w:val="auto"/>
          <w:spacing w:val="8"/>
          <w:sz w:val="21"/>
          <w:szCs w:val="21"/>
          <w:lang w:val="en-US"/>
        </w:rPr>
        <w:t>、子公司、分支机构的设立选择；</w:t>
      </w:r>
      <w:r>
        <w:rPr>
          <w:rFonts w:hint="eastAsia" w:ascii="微软雅黑" w:hAnsi="微软雅黑" w:eastAsia="微软雅黑" w:cs="微软雅黑"/>
          <w:bCs/>
          <w:color w:val="auto"/>
          <w:spacing w:val="8"/>
          <w:sz w:val="21"/>
          <w:szCs w:val="21"/>
          <w:lang w:val="en-US" w:eastAsia="zh-CN"/>
        </w:rPr>
        <w:t>4</w:t>
      </w:r>
      <w:r>
        <w:rPr>
          <w:rFonts w:hint="eastAsia" w:ascii="微软雅黑" w:hAnsi="微软雅黑" w:eastAsia="微软雅黑" w:cs="微软雅黑"/>
          <w:bCs/>
          <w:color w:val="auto"/>
          <w:spacing w:val="8"/>
          <w:sz w:val="21"/>
          <w:szCs w:val="21"/>
          <w:lang w:val="en-US"/>
        </w:rPr>
        <w:t>、母子控股企业间如何实现利润的转移或补亏而不产生税收风险；</w:t>
      </w:r>
      <w:r>
        <w:rPr>
          <w:rFonts w:hint="eastAsia" w:ascii="微软雅黑" w:hAnsi="微软雅黑" w:eastAsia="微软雅黑" w:cs="微软雅黑"/>
          <w:bCs/>
          <w:color w:val="auto"/>
          <w:sz w:val="21"/>
          <w:szCs w:val="21"/>
          <w:lang w:val="en-US" w:eastAsia="zh-CN"/>
        </w:rPr>
        <w:t>5</w:t>
      </w:r>
      <w:r>
        <w:rPr>
          <w:rFonts w:hint="eastAsia" w:ascii="微软雅黑" w:hAnsi="微软雅黑" w:eastAsia="微软雅黑" w:cs="微软雅黑"/>
          <w:bCs/>
          <w:color w:val="auto"/>
          <w:sz w:val="21"/>
          <w:szCs w:val="21"/>
        </w:rPr>
        <w:t>、资产或股权母子间划转实现资源优化配置的同时如何实现税负的；</w:t>
      </w:r>
      <w:r>
        <w:rPr>
          <w:rFonts w:hint="eastAsia" w:ascii="微软雅黑" w:hAnsi="微软雅黑" w:eastAsia="微软雅黑" w:cs="微软雅黑"/>
          <w:bCs/>
          <w:color w:val="auto"/>
          <w:sz w:val="21"/>
          <w:szCs w:val="21"/>
          <w:lang w:val="en-US" w:eastAsia="zh-CN"/>
        </w:rPr>
        <w:t>6</w:t>
      </w:r>
      <w:r>
        <w:rPr>
          <w:rFonts w:hint="eastAsia" w:ascii="微软雅黑" w:hAnsi="微软雅黑" w:eastAsia="微软雅黑" w:cs="微软雅黑"/>
          <w:bCs/>
          <w:color w:val="auto"/>
          <w:sz w:val="21"/>
          <w:szCs w:val="21"/>
        </w:rPr>
        <w:t>、母子公司之间人员互派相关用工成本的承担主体的正确选择；</w:t>
      </w:r>
      <w:r>
        <w:rPr>
          <w:rFonts w:hint="eastAsia" w:ascii="微软雅黑" w:hAnsi="微软雅黑" w:eastAsia="微软雅黑" w:cs="微软雅黑"/>
          <w:bCs/>
          <w:color w:val="auto"/>
          <w:sz w:val="21"/>
          <w:szCs w:val="21"/>
          <w:lang w:val="en-US" w:eastAsia="zh-CN"/>
        </w:rPr>
        <w:t>7</w:t>
      </w:r>
      <w:r>
        <w:rPr>
          <w:rFonts w:hint="eastAsia" w:ascii="微软雅黑" w:hAnsi="微软雅黑" w:eastAsia="微软雅黑" w:cs="微软雅黑"/>
          <w:bCs/>
          <w:color w:val="auto"/>
          <w:sz w:val="21"/>
          <w:szCs w:val="21"/>
        </w:rPr>
        <w:t>、如何利用公司的合并实现企业利益最大化；</w:t>
      </w:r>
      <w:r>
        <w:rPr>
          <w:rFonts w:hint="eastAsia" w:ascii="微软雅黑" w:hAnsi="微软雅黑" w:eastAsia="微软雅黑" w:cs="微软雅黑"/>
          <w:bCs/>
          <w:color w:val="auto"/>
          <w:sz w:val="21"/>
          <w:szCs w:val="21"/>
          <w:lang w:val="en-US" w:eastAsia="zh-CN"/>
        </w:rPr>
        <w:t>8</w:t>
      </w:r>
      <w:r>
        <w:rPr>
          <w:rFonts w:hint="eastAsia" w:ascii="微软雅黑" w:hAnsi="微软雅黑" w:eastAsia="微软雅黑" w:cs="微软雅黑"/>
          <w:bCs/>
          <w:color w:val="auto"/>
          <w:sz w:val="21"/>
          <w:szCs w:val="21"/>
        </w:rPr>
        <w:t>、利用收购股权与收购资产的税负差异实现资产的转移；</w:t>
      </w:r>
      <w:r>
        <w:rPr>
          <w:rFonts w:hint="eastAsia" w:ascii="微软雅黑" w:hAnsi="微软雅黑" w:eastAsia="微软雅黑" w:cs="微软雅黑"/>
          <w:bCs/>
          <w:color w:val="auto"/>
          <w:sz w:val="21"/>
          <w:szCs w:val="21"/>
          <w:lang w:val="en-US" w:eastAsia="zh-CN"/>
        </w:rPr>
        <w:t>9</w:t>
      </w:r>
      <w:r>
        <w:rPr>
          <w:rFonts w:hint="eastAsia" w:ascii="微软雅黑" w:hAnsi="微软雅黑" w:eastAsia="微软雅黑" w:cs="微软雅黑"/>
          <w:bCs/>
          <w:color w:val="auto"/>
          <w:sz w:val="21"/>
          <w:szCs w:val="21"/>
        </w:rPr>
        <w:t>、税控制度的重置可以确保企业经营管理的规范</w:t>
      </w:r>
    </w:p>
    <w:p>
      <w:pPr>
        <w:snapToGrid w:val="0"/>
        <w:spacing w:line="264" w:lineRule="auto"/>
        <w:jc w:val="left"/>
        <w:rPr>
          <w:rFonts w:hint="eastAsia" w:ascii="微软雅黑" w:hAnsi="微软雅黑" w:eastAsia="微软雅黑" w:cs="微软雅黑"/>
          <w:b/>
          <w:bCs w:val="0"/>
          <w:color w:val="auto"/>
          <w:sz w:val="21"/>
          <w:szCs w:val="21"/>
        </w:rPr>
      </w:pPr>
    </w:p>
    <w:p>
      <w:pPr>
        <w:snapToGrid w:val="0"/>
        <w:spacing w:line="264" w:lineRule="auto"/>
        <w:jc w:val="left"/>
        <w:rPr>
          <w:rFonts w:hint="eastAsia" w:ascii="微软雅黑" w:hAnsi="微软雅黑" w:eastAsia="微软雅黑" w:cs="微软雅黑"/>
          <w:b/>
          <w:bCs w:val="0"/>
          <w:color w:val="auto"/>
          <w:sz w:val="21"/>
          <w:szCs w:val="21"/>
          <w:lang w:eastAsia="zh-CN"/>
        </w:rPr>
      </w:pPr>
      <w:r>
        <w:rPr>
          <w:rFonts w:hint="eastAsia" w:ascii="微软雅黑" w:hAnsi="微软雅黑" w:eastAsia="微软雅黑" w:cs="微软雅黑"/>
          <w:b/>
          <w:bCs w:val="0"/>
          <w:color w:val="auto"/>
          <w:sz w:val="21"/>
          <w:szCs w:val="21"/>
        </w:rPr>
        <w:t>第</w:t>
      </w:r>
      <w:r>
        <w:rPr>
          <w:rFonts w:hint="eastAsia" w:ascii="微软雅黑" w:hAnsi="微软雅黑" w:eastAsia="微软雅黑" w:cs="微软雅黑"/>
          <w:b/>
          <w:bCs w:val="0"/>
          <w:color w:val="auto"/>
          <w:sz w:val="21"/>
          <w:szCs w:val="21"/>
          <w:lang w:val="en-US" w:eastAsia="zh-CN"/>
        </w:rPr>
        <w:t>三</w:t>
      </w:r>
      <w:r>
        <w:rPr>
          <w:rFonts w:hint="eastAsia" w:ascii="微软雅黑" w:hAnsi="微软雅黑" w:eastAsia="微软雅黑" w:cs="微软雅黑"/>
          <w:b/>
          <w:bCs w:val="0"/>
          <w:color w:val="auto"/>
          <w:sz w:val="21"/>
          <w:szCs w:val="21"/>
        </w:rPr>
        <w:t>部分：</w:t>
      </w:r>
      <w:r>
        <w:rPr>
          <w:rFonts w:hint="eastAsia" w:ascii="微软雅黑" w:hAnsi="微软雅黑" w:eastAsia="微软雅黑" w:cs="微软雅黑"/>
          <w:b/>
          <w:bCs w:val="0"/>
          <w:color w:val="auto"/>
          <w:sz w:val="21"/>
          <w:szCs w:val="21"/>
          <w:lang w:val="en-US" w:eastAsia="zh-CN"/>
        </w:rPr>
        <w:t>夯实</w:t>
      </w:r>
      <w:r>
        <w:rPr>
          <w:rFonts w:hint="eastAsia" w:ascii="微软雅黑" w:hAnsi="微软雅黑" w:eastAsia="微软雅黑" w:cs="微软雅黑"/>
          <w:b/>
          <w:bCs w:val="0"/>
          <w:color w:val="auto"/>
          <w:sz w:val="21"/>
          <w:szCs w:val="21"/>
        </w:rPr>
        <w:t>内制，规避</w:t>
      </w:r>
      <w:r>
        <w:rPr>
          <w:rFonts w:hint="eastAsia" w:ascii="微软雅黑" w:hAnsi="微软雅黑" w:eastAsia="微软雅黑" w:cs="微软雅黑"/>
          <w:b/>
          <w:bCs w:val="0"/>
          <w:color w:val="auto"/>
          <w:sz w:val="21"/>
          <w:szCs w:val="21"/>
          <w:lang w:val="en-US" w:eastAsia="zh-CN"/>
        </w:rPr>
        <w:t>增值税</w:t>
      </w:r>
      <w:r>
        <w:rPr>
          <w:rFonts w:hint="eastAsia" w:ascii="微软雅黑" w:hAnsi="微软雅黑" w:eastAsia="微软雅黑" w:cs="微软雅黑"/>
          <w:b/>
          <w:bCs w:val="0"/>
          <w:color w:val="auto"/>
          <w:sz w:val="21"/>
          <w:szCs w:val="21"/>
        </w:rPr>
        <w:t>的涉税风险</w:t>
      </w:r>
    </w:p>
    <w:p>
      <w:pPr>
        <w:numPr>
          <w:ilvl w:val="0"/>
          <w:numId w:val="1"/>
        </w:numPr>
        <w:snapToGrid w:val="0"/>
        <w:spacing w:line="264" w:lineRule="auto"/>
        <w:jc w:val="left"/>
        <w:rPr>
          <w:rFonts w:hint="eastAsia" w:ascii="微软雅黑" w:hAnsi="微软雅黑" w:eastAsia="微软雅黑" w:cs="微软雅黑"/>
          <w:bCs/>
          <w:color w:val="auto"/>
          <w:spacing w:val="8"/>
          <w:kern w:val="0"/>
          <w:sz w:val="21"/>
          <w:szCs w:val="21"/>
          <w:lang w:val="en-US" w:eastAsia="zh-CN" w:bidi="ar-SA"/>
        </w:rPr>
      </w:pPr>
      <w:r>
        <w:rPr>
          <w:rFonts w:hint="eastAsia" w:ascii="微软雅黑" w:hAnsi="微软雅黑" w:eastAsia="微软雅黑" w:cs="微软雅黑"/>
          <w:bCs/>
          <w:color w:val="auto"/>
          <w:spacing w:val="8"/>
          <w:kern w:val="0"/>
          <w:sz w:val="21"/>
          <w:szCs w:val="21"/>
          <w:lang w:val="en-US" w:eastAsia="zh-CN" w:bidi="ar-SA"/>
        </w:rPr>
        <w:t>销项发票的涉税风险分析</w:t>
      </w:r>
    </w:p>
    <w:p>
      <w:pPr>
        <w:numPr>
          <w:ilvl w:val="0"/>
          <w:numId w:val="2"/>
        </w:numPr>
        <w:snapToGrid w:val="0"/>
        <w:spacing w:line="264" w:lineRule="auto"/>
        <w:jc w:val="left"/>
        <w:rPr>
          <w:rFonts w:hint="eastAsia" w:ascii="微软雅黑" w:hAnsi="微软雅黑" w:eastAsia="微软雅黑" w:cs="微软雅黑"/>
          <w:bCs/>
          <w:color w:val="auto"/>
          <w:spacing w:val="8"/>
          <w:kern w:val="0"/>
          <w:sz w:val="21"/>
          <w:szCs w:val="21"/>
          <w:lang w:val="en-US" w:eastAsia="zh-CN" w:bidi="ar-SA"/>
        </w:rPr>
      </w:pPr>
      <w:r>
        <w:rPr>
          <w:rFonts w:hint="eastAsia" w:ascii="微软雅黑" w:hAnsi="微软雅黑" w:eastAsia="微软雅黑" w:cs="微软雅黑"/>
          <w:bCs/>
          <w:color w:val="auto"/>
          <w:spacing w:val="8"/>
          <w:kern w:val="0"/>
          <w:sz w:val="21"/>
          <w:szCs w:val="21"/>
          <w:lang w:val="en-US" w:eastAsia="zh-CN" w:bidi="ar-SA"/>
        </w:rPr>
        <w:t>风险防范：纳税义务发生时间不准面临的税务风险；2、视同销售处理不当；3、价外费用处理不当；4、兼营与混合销售处理不当；5、未确保销售收入完全性</w:t>
      </w:r>
    </w:p>
    <w:p>
      <w:pPr>
        <w:numPr>
          <w:ilvl w:val="0"/>
          <w:numId w:val="0"/>
        </w:numPr>
        <w:snapToGrid w:val="0"/>
        <w:spacing w:line="264" w:lineRule="auto"/>
        <w:jc w:val="left"/>
        <w:rPr>
          <w:rFonts w:hint="eastAsia" w:ascii="微软雅黑" w:hAnsi="微软雅黑" w:eastAsia="微软雅黑" w:cs="微软雅黑"/>
          <w:bCs/>
          <w:color w:val="auto"/>
          <w:spacing w:val="8"/>
          <w:kern w:val="0"/>
          <w:sz w:val="21"/>
          <w:szCs w:val="21"/>
          <w:lang w:val="en-US" w:eastAsia="zh-CN" w:bidi="ar-SA"/>
        </w:rPr>
      </w:pPr>
      <w:r>
        <w:rPr>
          <w:rFonts w:hint="eastAsia" w:ascii="微软雅黑" w:hAnsi="微软雅黑" w:eastAsia="微软雅黑" w:cs="微软雅黑"/>
          <w:bCs/>
          <w:color w:val="auto"/>
          <w:spacing w:val="8"/>
          <w:kern w:val="0"/>
          <w:sz w:val="21"/>
          <w:szCs w:val="21"/>
          <w:lang w:val="en-US" w:eastAsia="zh-CN" w:bidi="ar-SA"/>
        </w:rPr>
        <w:t>二、进项发票的涉税风险分析</w:t>
      </w:r>
    </w:p>
    <w:p>
      <w:pPr>
        <w:numPr>
          <w:ilvl w:val="0"/>
          <w:numId w:val="0"/>
        </w:numPr>
        <w:snapToGrid w:val="0"/>
        <w:spacing w:line="264" w:lineRule="auto"/>
        <w:jc w:val="left"/>
        <w:rPr>
          <w:rFonts w:hint="eastAsia" w:ascii="微软雅黑" w:hAnsi="微软雅黑" w:eastAsia="微软雅黑" w:cs="微软雅黑"/>
          <w:bCs/>
          <w:color w:val="auto"/>
          <w:spacing w:val="8"/>
          <w:kern w:val="0"/>
          <w:sz w:val="21"/>
          <w:szCs w:val="21"/>
          <w:lang w:val="en-US" w:eastAsia="zh-CN" w:bidi="ar-SA"/>
        </w:rPr>
      </w:pPr>
      <w:r>
        <w:rPr>
          <w:rFonts w:hint="eastAsia" w:ascii="微软雅黑" w:hAnsi="微软雅黑" w:eastAsia="微软雅黑" w:cs="微软雅黑"/>
          <w:bCs/>
          <w:color w:val="auto"/>
          <w:spacing w:val="8"/>
          <w:kern w:val="0"/>
          <w:sz w:val="21"/>
          <w:szCs w:val="21"/>
          <w:lang w:val="en-US" w:eastAsia="zh-CN" w:bidi="ar-SA"/>
        </w:rPr>
        <w:t>1、抵扣凭证有哪些？有什么要求？风险防范：扣除凭证的真实性和时效性；风险防范：常见扣除凭证的税务风险把控点；2、哪些业务不能抵你抵了；3.、哪些业务能抵你却没抵；4、哪些进项可以一次性抵，你却分期抵；5. 该退的税有没有申请退</w:t>
      </w:r>
    </w:p>
    <w:p>
      <w:pPr>
        <w:snapToGrid w:val="0"/>
        <w:spacing w:line="264" w:lineRule="auto"/>
        <w:jc w:val="left"/>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lang w:val="en-US" w:eastAsia="zh-CN"/>
        </w:rPr>
        <w:t>三</w:t>
      </w:r>
      <w:r>
        <w:rPr>
          <w:rFonts w:hint="eastAsia" w:ascii="微软雅黑" w:hAnsi="微软雅黑" w:eastAsia="微软雅黑" w:cs="微软雅黑"/>
          <w:bCs/>
          <w:color w:val="auto"/>
          <w:sz w:val="21"/>
          <w:szCs w:val="21"/>
        </w:rPr>
        <w:t>、各种</w:t>
      </w:r>
      <w:r>
        <w:rPr>
          <w:rFonts w:hint="eastAsia" w:ascii="微软雅黑" w:hAnsi="微软雅黑" w:eastAsia="微软雅黑" w:cs="微软雅黑"/>
          <w:bCs/>
          <w:color w:val="auto"/>
          <w:sz w:val="21"/>
          <w:szCs w:val="21"/>
          <w:lang w:val="en-US" w:eastAsia="zh-CN"/>
        </w:rPr>
        <w:t>具体</w:t>
      </w:r>
      <w:r>
        <w:rPr>
          <w:rFonts w:hint="eastAsia" w:ascii="微软雅黑" w:hAnsi="微软雅黑" w:eastAsia="微软雅黑" w:cs="微软雅黑"/>
          <w:bCs/>
          <w:color w:val="auto"/>
          <w:sz w:val="21"/>
          <w:szCs w:val="21"/>
        </w:rPr>
        <w:t>常见费用发票等涉税问题分析</w:t>
      </w:r>
    </w:p>
    <w:p>
      <w:pPr>
        <w:snapToGrid w:val="0"/>
        <w:spacing w:line="264" w:lineRule="auto"/>
        <w:jc w:val="left"/>
        <w:rPr>
          <w:rFonts w:hint="eastAsia" w:ascii="微软雅黑" w:hAnsi="微软雅黑" w:eastAsia="微软雅黑" w:cs="微软雅黑"/>
          <w:bCs/>
          <w:color w:val="auto"/>
          <w:spacing w:val="8"/>
          <w:sz w:val="21"/>
          <w:szCs w:val="21"/>
        </w:rPr>
      </w:pPr>
      <w:r>
        <w:rPr>
          <w:rFonts w:hint="eastAsia" w:ascii="微软雅黑" w:hAnsi="微软雅黑" w:eastAsia="微软雅黑" w:cs="微软雅黑"/>
          <w:bCs/>
          <w:color w:val="auto"/>
          <w:sz w:val="21"/>
          <w:szCs w:val="21"/>
        </w:rPr>
        <w:t>1、业务招待费等涉税问题分析；2、公司经常与客户一起出差考察业务,客户的一些机票等费用是否允许税前扣除?3、公司业务人员出差时，填列出差的误餐补助一般都没有发票，对于此项是否一定需要取得餐饮发票才可以列支？如果没有餐饮发票，是否可以凭公司制定的规章制度填列报销？4、会议费、培训费的税务处理；5、会议费用和培训费用的纳税筹划要点；</w:t>
      </w:r>
      <w:r>
        <w:rPr>
          <w:rFonts w:hint="eastAsia" w:ascii="微软雅黑" w:hAnsi="微软雅黑" w:eastAsia="微软雅黑" w:cs="微软雅黑"/>
          <w:bCs/>
          <w:color w:val="auto"/>
          <w:spacing w:val="8"/>
          <w:sz w:val="21"/>
          <w:szCs w:val="21"/>
        </w:rPr>
        <w:t>6、这一类发票成为每年税务稽查的重点；7、劳动保护费涉税问题解析；8、职工福利费的会计处理与纳税调整；9、职工餐饮食堂买菜没票如何处理</w:t>
      </w:r>
    </w:p>
    <w:p>
      <w:pPr>
        <w:snapToGrid w:val="0"/>
        <w:spacing w:line="264" w:lineRule="auto"/>
        <w:jc w:val="left"/>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lang w:val="en-US" w:eastAsia="zh-CN"/>
        </w:rPr>
        <w:t>四</w:t>
      </w:r>
      <w:r>
        <w:rPr>
          <w:rFonts w:hint="eastAsia" w:ascii="微软雅黑" w:hAnsi="微软雅黑" w:eastAsia="微软雅黑" w:cs="微软雅黑"/>
          <w:bCs/>
          <w:color w:val="auto"/>
          <w:sz w:val="21"/>
          <w:szCs w:val="21"/>
        </w:rPr>
        <w:t>、</w:t>
      </w:r>
      <w:r>
        <w:rPr>
          <w:rFonts w:hint="eastAsia" w:ascii="微软雅黑" w:hAnsi="微软雅黑" w:eastAsia="微软雅黑" w:cs="微软雅黑"/>
          <w:bCs/>
          <w:color w:val="auto"/>
          <w:spacing w:val="8"/>
          <w:sz w:val="21"/>
          <w:szCs w:val="21"/>
          <w:lang w:val="en-US"/>
        </w:rPr>
        <w:t>企业借款涉税风险把控</w:t>
      </w:r>
    </w:p>
    <w:p>
      <w:pPr>
        <w:snapToGrid w:val="0"/>
        <w:spacing w:line="264" w:lineRule="auto"/>
        <w:jc w:val="left"/>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1、借款费用会计准则与税法比较分析与纳税调整；2、企业所得税若干问题的公告；3、借款利息应注意的事项；4、企业支付的小额贷款公司利息费用扣除问题处理；5、企业向个人借款实务问题；6、资金池的运用可以优化企业内部融资的税负成本；7、统借统还的运用在融资上将节约税负；8、视同销售业务如何判断；9、支付利息应取得发票的问题；10、一般企业向银行借款，需要缴纳印花税吗？</w:t>
      </w:r>
      <w:r>
        <w:rPr>
          <w:rFonts w:hint="eastAsia" w:ascii="微软雅黑" w:hAnsi="微软雅黑" w:eastAsia="微软雅黑" w:cs="微软雅黑"/>
          <w:bCs/>
          <w:color w:val="auto"/>
          <w:sz w:val="21"/>
          <w:szCs w:val="21"/>
          <w:lang w:eastAsia="zh-CN"/>
        </w:rPr>
        <w:t>；</w:t>
      </w:r>
      <w:r>
        <w:rPr>
          <w:rFonts w:hint="eastAsia" w:ascii="微软雅黑" w:hAnsi="微软雅黑" w:eastAsia="微软雅黑" w:cs="微软雅黑"/>
          <w:bCs/>
          <w:color w:val="auto"/>
          <w:sz w:val="21"/>
          <w:szCs w:val="21"/>
        </w:rPr>
        <w:t>11、一般企业向一般企业（个人）借款需要缴纳印花税吗？12、集团财务公司与关联企业借款合同需要缴纳印花税吗？</w:t>
      </w:r>
    </w:p>
    <w:p>
      <w:pPr>
        <w:pStyle w:val="6"/>
        <w:kinsoku w:val="0"/>
        <w:overflowPunct w:val="0"/>
        <w:snapToGrid w:val="0"/>
        <w:spacing w:before="0" w:beforeAutospacing="0" w:after="0" w:afterAutospacing="0" w:line="264" w:lineRule="auto"/>
        <w:textAlignment w:val="baseline"/>
        <w:rPr>
          <w:rFonts w:hint="eastAsia" w:ascii="微软雅黑" w:hAnsi="微软雅黑" w:eastAsia="微软雅黑" w:cs="微软雅黑"/>
          <w:b/>
          <w:bCs w:val="0"/>
          <w:color w:val="auto"/>
          <w:kern w:val="24"/>
          <w:sz w:val="21"/>
          <w:szCs w:val="21"/>
        </w:rPr>
      </w:pPr>
    </w:p>
    <w:p>
      <w:pPr>
        <w:pStyle w:val="6"/>
        <w:kinsoku w:val="0"/>
        <w:overflowPunct w:val="0"/>
        <w:snapToGrid w:val="0"/>
        <w:spacing w:before="0" w:beforeAutospacing="0" w:after="0" w:afterAutospacing="0" w:line="264" w:lineRule="auto"/>
        <w:textAlignment w:val="baseline"/>
        <w:rPr>
          <w:rFonts w:hint="eastAsia" w:ascii="微软雅黑" w:hAnsi="微软雅黑" w:eastAsia="微软雅黑" w:cs="微软雅黑"/>
          <w:b/>
          <w:bCs w:val="0"/>
          <w:color w:val="auto"/>
          <w:kern w:val="24"/>
          <w:sz w:val="21"/>
          <w:szCs w:val="21"/>
          <w:lang w:val="en-US" w:eastAsia="zh-CN"/>
        </w:rPr>
      </w:pPr>
      <w:r>
        <w:rPr>
          <w:rFonts w:hint="eastAsia" w:ascii="微软雅黑" w:hAnsi="微软雅黑" w:eastAsia="微软雅黑" w:cs="微软雅黑"/>
          <w:b/>
          <w:bCs w:val="0"/>
          <w:color w:val="auto"/>
          <w:kern w:val="24"/>
          <w:sz w:val="21"/>
          <w:szCs w:val="21"/>
        </w:rPr>
        <w:t>第</w:t>
      </w:r>
      <w:r>
        <w:rPr>
          <w:rFonts w:hint="eastAsia" w:ascii="微软雅黑" w:hAnsi="微软雅黑" w:eastAsia="微软雅黑" w:cs="微软雅黑"/>
          <w:b/>
          <w:bCs w:val="0"/>
          <w:color w:val="auto"/>
          <w:kern w:val="24"/>
          <w:sz w:val="21"/>
          <w:szCs w:val="21"/>
          <w:lang w:val="en-US" w:eastAsia="zh-CN"/>
        </w:rPr>
        <w:t>四</w:t>
      </w:r>
      <w:r>
        <w:rPr>
          <w:rFonts w:hint="eastAsia" w:ascii="微软雅黑" w:hAnsi="微软雅黑" w:eastAsia="微软雅黑" w:cs="微软雅黑"/>
          <w:b/>
          <w:bCs w:val="0"/>
          <w:color w:val="auto"/>
          <w:kern w:val="24"/>
          <w:sz w:val="21"/>
          <w:szCs w:val="21"/>
        </w:rPr>
        <w:t>部分：</w:t>
      </w:r>
      <w:r>
        <w:rPr>
          <w:rFonts w:hint="eastAsia" w:ascii="微软雅黑" w:hAnsi="微软雅黑" w:eastAsia="微软雅黑" w:cs="微软雅黑"/>
          <w:b/>
          <w:bCs w:val="0"/>
          <w:color w:val="auto"/>
          <w:kern w:val="24"/>
          <w:sz w:val="21"/>
          <w:szCs w:val="21"/>
          <w:lang w:val="en-US" w:eastAsia="zh-CN"/>
        </w:rPr>
        <w:t>未雨绸缪，企业</w:t>
      </w:r>
      <w:r>
        <w:rPr>
          <w:rFonts w:hint="eastAsia" w:ascii="微软雅黑" w:hAnsi="微软雅黑" w:eastAsia="微软雅黑" w:cs="微软雅黑"/>
          <w:b/>
          <w:bCs w:val="0"/>
          <w:color w:val="auto"/>
          <w:kern w:val="24"/>
          <w:sz w:val="21"/>
          <w:szCs w:val="21"/>
        </w:rPr>
        <w:t>所得税风险</w:t>
      </w:r>
      <w:r>
        <w:rPr>
          <w:rFonts w:hint="eastAsia" w:ascii="微软雅黑" w:hAnsi="微软雅黑" w:eastAsia="微软雅黑" w:cs="微软雅黑"/>
          <w:b/>
          <w:bCs w:val="0"/>
          <w:color w:val="auto"/>
          <w:kern w:val="24"/>
          <w:sz w:val="21"/>
          <w:szCs w:val="21"/>
          <w:lang w:val="en-US" w:eastAsia="zh-CN"/>
        </w:rPr>
        <w:t>自</w:t>
      </w:r>
      <w:r>
        <w:rPr>
          <w:rFonts w:hint="eastAsia" w:ascii="微软雅黑" w:hAnsi="微软雅黑" w:eastAsia="微软雅黑" w:cs="微软雅黑"/>
          <w:b/>
          <w:bCs w:val="0"/>
          <w:color w:val="auto"/>
          <w:kern w:val="24"/>
          <w:sz w:val="21"/>
          <w:szCs w:val="21"/>
        </w:rPr>
        <w:t>查与</w:t>
      </w:r>
      <w:r>
        <w:rPr>
          <w:rFonts w:hint="eastAsia" w:ascii="微软雅黑" w:hAnsi="微软雅黑" w:eastAsia="微软雅黑" w:cs="微软雅黑"/>
          <w:b/>
          <w:bCs w:val="0"/>
          <w:color w:val="auto"/>
          <w:kern w:val="24"/>
          <w:sz w:val="21"/>
          <w:szCs w:val="21"/>
          <w:lang w:val="en-US" w:eastAsia="zh-CN"/>
        </w:rPr>
        <w:t>防范</w:t>
      </w:r>
    </w:p>
    <w:p>
      <w:pPr>
        <w:snapToGrid w:val="0"/>
        <w:spacing w:line="264" w:lineRule="auto"/>
        <w:jc w:val="left"/>
        <w:rPr>
          <w:rFonts w:hint="eastAsia" w:ascii="微软雅黑" w:hAnsi="微软雅黑" w:eastAsia="微软雅黑" w:cs="微软雅黑"/>
          <w:bCs/>
          <w:color w:val="auto"/>
          <w:sz w:val="21"/>
          <w:szCs w:val="21"/>
          <w:lang w:val="en-US" w:eastAsia="zh-CN"/>
        </w:rPr>
      </w:pPr>
      <w:r>
        <w:rPr>
          <w:rFonts w:hint="eastAsia" w:ascii="微软雅黑" w:hAnsi="微软雅黑" w:eastAsia="微软雅黑" w:cs="微软雅黑"/>
          <w:bCs/>
          <w:color w:val="auto"/>
          <w:sz w:val="21"/>
          <w:szCs w:val="21"/>
          <w:lang w:val="en-US" w:eastAsia="zh-CN"/>
        </w:rPr>
        <w:t>一、企业所得税各项风险</w:t>
      </w:r>
    </w:p>
    <w:p>
      <w:pPr>
        <w:snapToGrid w:val="0"/>
        <w:spacing w:line="264" w:lineRule="auto"/>
        <w:jc w:val="left"/>
        <w:rPr>
          <w:rFonts w:hint="eastAsia" w:ascii="微软雅黑" w:hAnsi="微软雅黑" w:eastAsia="微软雅黑" w:cs="微软雅黑"/>
          <w:bCs/>
          <w:color w:val="auto"/>
          <w:kern w:val="24"/>
          <w:sz w:val="21"/>
          <w:szCs w:val="21"/>
          <w:lang w:val="en-US" w:eastAsia="zh-CN"/>
        </w:rPr>
      </w:pPr>
      <w:r>
        <w:rPr>
          <w:rFonts w:hint="eastAsia" w:ascii="微软雅黑" w:hAnsi="微软雅黑" w:eastAsia="微软雅黑" w:cs="微软雅黑"/>
          <w:bCs/>
          <w:color w:val="auto"/>
          <w:sz w:val="21"/>
          <w:szCs w:val="21"/>
          <w:lang w:val="en-US" w:eastAsia="zh-CN"/>
        </w:rPr>
        <w:t>1、收入确认的原则风险防范：不同情况下收入类型的对比分析；2、企业准予在计算应纳税所得额时扣除的内容；3、常见扣除事项的税务风险；4、扣除凭证的税务风险，风险防范：企业的开票项目与经营范围的关系；5、优惠事项的税务风险，风险防范：优惠政策首次实行超额累进税率；6、</w:t>
      </w:r>
      <w:r>
        <w:rPr>
          <w:rFonts w:hint="eastAsia" w:ascii="微软雅黑" w:hAnsi="微软雅黑" w:eastAsia="微软雅黑" w:cs="微软雅黑"/>
          <w:bCs/>
          <w:color w:val="auto"/>
          <w:kern w:val="24"/>
          <w:sz w:val="21"/>
          <w:szCs w:val="21"/>
          <w:lang w:val="en-US" w:eastAsia="zh-CN"/>
        </w:rPr>
        <w:t>研发费用如何合理地的加计扣除？7、</w:t>
      </w:r>
      <w:r>
        <w:rPr>
          <w:rFonts w:hint="eastAsia" w:ascii="微软雅黑" w:hAnsi="微软雅黑" w:eastAsia="微软雅黑" w:cs="微软雅黑"/>
          <w:bCs/>
          <w:color w:val="auto"/>
          <w:kern w:val="24"/>
          <w:sz w:val="21"/>
          <w:szCs w:val="21"/>
        </w:rPr>
        <w:t>企业所得税有哪些风险指标分析</w:t>
      </w:r>
      <w:r>
        <w:rPr>
          <w:rFonts w:hint="eastAsia" w:ascii="微软雅黑" w:hAnsi="微软雅黑" w:eastAsia="微软雅黑" w:cs="微软雅黑"/>
          <w:bCs/>
          <w:color w:val="auto"/>
          <w:kern w:val="24"/>
          <w:sz w:val="21"/>
          <w:szCs w:val="21"/>
          <w:lang w:eastAsia="zh-CN"/>
        </w:rPr>
        <w:t>；</w:t>
      </w:r>
      <w:r>
        <w:rPr>
          <w:rFonts w:hint="eastAsia" w:ascii="微软雅黑" w:hAnsi="微软雅黑" w:eastAsia="微软雅黑" w:cs="微软雅黑"/>
          <w:bCs/>
          <w:color w:val="auto"/>
          <w:kern w:val="24"/>
          <w:sz w:val="21"/>
          <w:szCs w:val="21"/>
          <w:lang w:val="en-US" w:eastAsia="zh-CN"/>
        </w:rPr>
        <w:t>8、所得税汇算清缴过程中费用扣除的注意事项。</w:t>
      </w:r>
    </w:p>
    <w:p>
      <w:pPr>
        <w:pStyle w:val="6"/>
        <w:kinsoku w:val="0"/>
        <w:overflowPunct w:val="0"/>
        <w:snapToGrid w:val="0"/>
        <w:spacing w:before="0" w:beforeAutospacing="0" w:after="0" w:afterAutospacing="0" w:line="264" w:lineRule="auto"/>
        <w:textAlignment w:val="baseline"/>
        <w:rPr>
          <w:rFonts w:hint="eastAsia" w:ascii="微软雅黑" w:hAnsi="微软雅黑" w:eastAsia="微软雅黑" w:cs="微软雅黑"/>
          <w:bCs/>
          <w:color w:val="auto"/>
          <w:kern w:val="24"/>
          <w:sz w:val="21"/>
          <w:szCs w:val="21"/>
          <w:lang w:val="en-US" w:eastAsia="zh-CN"/>
        </w:rPr>
      </w:pPr>
      <w:r>
        <w:rPr>
          <w:rFonts w:hint="eastAsia" w:ascii="微软雅黑" w:hAnsi="微软雅黑" w:eastAsia="微软雅黑" w:cs="微软雅黑"/>
          <w:bCs/>
          <w:color w:val="auto"/>
          <w:kern w:val="24"/>
          <w:sz w:val="21"/>
          <w:szCs w:val="21"/>
          <w:lang w:val="en-US" w:eastAsia="zh-CN"/>
        </w:rPr>
        <w:t>二、</w:t>
      </w:r>
      <w:r>
        <w:rPr>
          <w:rFonts w:hint="eastAsia" w:ascii="微软雅黑" w:hAnsi="微软雅黑" w:eastAsia="微软雅黑" w:cs="微软雅黑"/>
          <w:bCs/>
          <w:color w:val="auto"/>
          <w:kern w:val="24"/>
          <w:sz w:val="21"/>
          <w:szCs w:val="21"/>
        </w:rPr>
        <w:t>所得税汇算无发票支出风险检查与应对</w:t>
      </w:r>
    </w:p>
    <w:p>
      <w:pPr>
        <w:pStyle w:val="6"/>
        <w:kinsoku w:val="0"/>
        <w:overflowPunct w:val="0"/>
        <w:snapToGrid w:val="0"/>
        <w:spacing w:before="0" w:beforeAutospacing="0" w:after="0" w:afterAutospacing="0" w:line="264" w:lineRule="auto"/>
        <w:textAlignment w:val="baseline"/>
        <w:rPr>
          <w:rFonts w:hint="eastAsia" w:ascii="微软雅黑" w:hAnsi="微软雅黑" w:eastAsia="微软雅黑" w:cs="微软雅黑"/>
          <w:bCs/>
          <w:color w:val="auto"/>
          <w:kern w:val="24"/>
          <w:sz w:val="21"/>
          <w:szCs w:val="21"/>
        </w:rPr>
      </w:pPr>
      <w:r>
        <w:rPr>
          <w:rFonts w:hint="eastAsia" w:ascii="微软雅黑" w:hAnsi="微软雅黑" w:eastAsia="微软雅黑" w:cs="微软雅黑"/>
          <w:bCs/>
          <w:color w:val="auto"/>
          <w:kern w:val="24"/>
          <w:sz w:val="21"/>
          <w:szCs w:val="21"/>
        </w:rPr>
        <w:t>1、国税总局：汇算清缴再出新规定！资产损失不再报相关资料了！2、资产损失税务检查与风险防控；3、企业所得税法的证据链问题；4、国家税务总局政策解读小额零星经营业务相应可按新的标准判断  ；5、区分证据类型：内部证据和外部证据；6、企业哪些票据问题会存在税务风险？；7、白条收据税务风险应对；8、实务问题解答</w:t>
      </w:r>
    </w:p>
    <w:p>
      <w:pPr>
        <w:pStyle w:val="6"/>
        <w:kinsoku w:val="0"/>
        <w:overflowPunct w:val="0"/>
        <w:snapToGrid w:val="0"/>
        <w:spacing w:before="0" w:beforeAutospacing="0" w:after="0" w:afterAutospacing="0" w:line="264" w:lineRule="auto"/>
        <w:textAlignment w:val="baseline"/>
        <w:rPr>
          <w:rFonts w:hint="eastAsia" w:ascii="微软雅黑" w:hAnsi="微软雅黑" w:eastAsia="微软雅黑" w:cs="微软雅黑"/>
          <w:b/>
          <w:bCs w:val="0"/>
          <w:color w:val="auto"/>
          <w:kern w:val="24"/>
          <w:sz w:val="21"/>
          <w:szCs w:val="21"/>
        </w:rPr>
      </w:pPr>
    </w:p>
    <w:p>
      <w:pPr>
        <w:pStyle w:val="6"/>
        <w:kinsoku w:val="0"/>
        <w:overflowPunct w:val="0"/>
        <w:snapToGrid w:val="0"/>
        <w:spacing w:before="0" w:beforeAutospacing="0" w:after="0" w:afterAutospacing="0" w:line="264" w:lineRule="auto"/>
        <w:textAlignment w:val="baseline"/>
        <w:rPr>
          <w:rFonts w:hint="eastAsia" w:ascii="微软雅黑" w:hAnsi="微软雅黑" w:eastAsia="微软雅黑" w:cs="微软雅黑"/>
          <w:bCs/>
          <w:color w:val="auto"/>
          <w:kern w:val="24"/>
          <w:sz w:val="21"/>
          <w:szCs w:val="21"/>
        </w:rPr>
      </w:pPr>
      <w:r>
        <w:rPr>
          <w:rFonts w:hint="eastAsia" w:ascii="微软雅黑" w:hAnsi="微软雅黑" w:eastAsia="微软雅黑" w:cs="微软雅黑"/>
          <w:b/>
          <w:bCs w:val="0"/>
          <w:color w:val="auto"/>
          <w:kern w:val="24"/>
          <w:sz w:val="21"/>
          <w:szCs w:val="21"/>
        </w:rPr>
        <w:t>第</w:t>
      </w:r>
      <w:r>
        <w:rPr>
          <w:rFonts w:hint="eastAsia" w:ascii="微软雅黑" w:hAnsi="微软雅黑" w:eastAsia="微软雅黑" w:cs="微软雅黑"/>
          <w:b/>
          <w:bCs w:val="0"/>
          <w:color w:val="auto"/>
          <w:kern w:val="24"/>
          <w:sz w:val="21"/>
          <w:szCs w:val="21"/>
          <w:lang w:val="en-US" w:eastAsia="zh-CN"/>
        </w:rPr>
        <w:t>五</w:t>
      </w:r>
      <w:r>
        <w:rPr>
          <w:rFonts w:hint="eastAsia" w:ascii="微软雅黑" w:hAnsi="微软雅黑" w:eastAsia="微软雅黑" w:cs="微软雅黑"/>
          <w:b/>
          <w:bCs w:val="0"/>
          <w:color w:val="auto"/>
          <w:kern w:val="24"/>
          <w:sz w:val="21"/>
          <w:szCs w:val="21"/>
        </w:rPr>
        <w:t>部分：</w:t>
      </w:r>
      <w:r>
        <w:rPr>
          <w:rFonts w:hint="eastAsia" w:ascii="微软雅黑" w:hAnsi="微软雅黑" w:eastAsia="微软雅黑" w:cs="微软雅黑"/>
          <w:b/>
          <w:bCs w:val="0"/>
          <w:color w:val="auto"/>
          <w:kern w:val="24"/>
          <w:sz w:val="21"/>
          <w:szCs w:val="21"/>
          <w:lang w:val="en-US" w:eastAsia="zh-CN"/>
        </w:rPr>
        <w:t>降低成本，</w:t>
      </w:r>
      <w:r>
        <w:rPr>
          <w:rFonts w:hint="eastAsia" w:ascii="微软雅黑" w:hAnsi="微软雅黑" w:eastAsia="微软雅黑" w:cs="微软雅黑"/>
          <w:b/>
          <w:bCs w:val="0"/>
          <w:color w:val="auto"/>
          <w:kern w:val="24"/>
          <w:sz w:val="21"/>
          <w:szCs w:val="21"/>
        </w:rPr>
        <w:t>个人所得税及社保纳税筹划</w:t>
      </w:r>
    </w:p>
    <w:p>
      <w:pPr>
        <w:pStyle w:val="6"/>
        <w:kinsoku w:val="0"/>
        <w:overflowPunct w:val="0"/>
        <w:snapToGrid w:val="0"/>
        <w:spacing w:before="0" w:beforeAutospacing="0" w:after="0" w:afterAutospacing="0" w:line="264" w:lineRule="auto"/>
        <w:textAlignment w:val="baseline"/>
        <w:rPr>
          <w:rFonts w:hint="eastAsia" w:ascii="微软雅黑" w:hAnsi="微软雅黑" w:eastAsia="微软雅黑" w:cs="微软雅黑"/>
          <w:bCs/>
          <w:color w:val="auto"/>
          <w:kern w:val="24"/>
          <w:sz w:val="21"/>
          <w:szCs w:val="21"/>
        </w:rPr>
      </w:pPr>
      <w:r>
        <w:rPr>
          <w:rFonts w:hint="eastAsia" w:ascii="微软雅黑" w:hAnsi="微软雅黑" w:eastAsia="微软雅黑" w:cs="微软雅黑"/>
          <w:bCs/>
          <w:color w:val="auto"/>
          <w:kern w:val="24"/>
          <w:sz w:val="21"/>
          <w:szCs w:val="21"/>
        </w:rPr>
        <w:t>一、新税制的变化</w:t>
      </w:r>
    </w:p>
    <w:p>
      <w:pPr>
        <w:pStyle w:val="6"/>
        <w:kinsoku w:val="0"/>
        <w:overflowPunct w:val="0"/>
        <w:snapToGrid w:val="0"/>
        <w:spacing w:before="0" w:beforeAutospacing="0" w:after="0" w:afterAutospacing="0" w:line="264" w:lineRule="auto"/>
        <w:textAlignment w:val="baseline"/>
        <w:rPr>
          <w:rFonts w:hint="eastAsia" w:ascii="微软雅黑" w:hAnsi="微软雅黑" w:eastAsia="微软雅黑" w:cs="微软雅黑"/>
          <w:bCs/>
          <w:color w:val="auto"/>
          <w:kern w:val="24"/>
          <w:sz w:val="21"/>
          <w:szCs w:val="21"/>
        </w:rPr>
      </w:pPr>
      <w:r>
        <w:rPr>
          <w:rFonts w:hint="eastAsia" w:ascii="微软雅黑" w:hAnsi="微软雅黑" w:eastAsia="微软雅黑" w:cs="微软雅黑"/>
          <w:bCs/>
          <w:color w:val="auto"/>
          <w:kern w:val="24"/>
          <w:sz w:val="21"/>
          <w:szCs w:val="21"/>
        </w:rPr>
        <w:t>1、“分类与综合”所得税制并行；2、六项专项附加扣除+个人所得税APP；3、个人所得税税务筹划</w:t>
      </w:r>
    </w:p>
    <w:p>
      <w:pPr>
        <w:widowControl/>
        <w:kinsoku w:val="0"/>
        <w:overflowPunct w:val="0"/>
        <w:snapToGrid w:val="0"/>
        <w:spacing w:line="264" w:lineRule="auto"/>
        <w:jc w:val="left"/>
        <w:textAlignment w:val="baseline"/>
        <w:rPr>
          <w:rFonts w:hint="eastAsia" w:ascii="微软雅黑" w:hAnsi="微软雅黑" w:eastAsia="微软雅黑" w:cs="微软雅黑"/>
          <w:bCs/>
          <w:color w:val="auto"/>
          <w:kern w:val="0"/>
          <w:sz w:val="21"/>
          <w:szCs w:val="21"/>
        </w:rPr>
      </w:pPr>
      <w:r>
        <w:rPr>
          <w:rFonts w:hint="eastAsia" w:ascii="微软雅黑" w:hAnsi="微软雅黑" w:eastAsia="微软雅黑" w:cs="微软雅黑"/>
          <w:bCs/>
          <w:color w:val="auto"/>
          <w:kern w:val="0"/>
          <w:sz w:val="21"/>
          <w:szCs w:val="21"/>
        </w:rPr>
        <w:t>4、利用税率极差降低个人所得税的税负；5、利用工资降低个人所得税的税负；6、常用个税方案简介-管理层及其他高薪酬人员</w:t>
      </w:r>
    </w:p>
    <w:p>
      <w:pPr>
        <w:pStyle w:val="6"/>
        <w:kinsoku w:val="0"/>
        <w:overflowPunct w:val="0"/>
        <w:snapToGrid w:val="0"/>
        <w:spacing w:before="0" w:beforeAutospacing="0" w:after="0" w:afterAutospacing="0" w:line="264" w:lineRule="auto"/>
        <w:textAlignment w:val="baseline"/>
        <w:rPr>
          <w:rFonts w:hint="eastAsia" w:ascii="微软雅黑" w:hAnsi="微软雅黑" w:eastAsia="微软雅黑" w:cs="微软雅黑"/>
          <w:bCs/>
          <w:color w:val="auto"/>
          <w:kern w:val="24"/>
          <w:sz w:val="21"/>
          <w:szCs w:val="21"/>
        </w:rPr>
      </w:pPr>
      <w:r>
        <w:rPr>
          <w:rFonts w:hint="eastAsia" w:ascii="微软雅黑" w:hAnsi="微软雅黑" w:eastAsia="微软雅黑" w:cs="微软雅黑"/>
          <w:bCs/>
          <w:color w:val="auto"/>
          <w:kern w:val="24"/>
          <w:sz w:val="21"/>
          <w:szCs w:val="21"/>
        </w:rPr>
        <w:t>二、社保归一税务</w:t>
      </w:r>
    </w:p>
    <w:p>
      <w:pPr>
        <w:pStyle w:val="6"/>
        <w:kinsoku w:val="0"/>
        <w:overflowPunct w:val="0"/>
        <w:snapToGrid w:val="0"/>
        <w:spacing w:before="0" w:beforeAutospacing="0" w:after="0" w:afterAutospacing="0" w:line="264" w:lineRule="auto"/>
        <w:textAlignment w:val="baseline"/>
        <w:rPr>
          <w:rFonts w:hint="eastAsia" w:ascii="微软雅黑" w:hAnsi="微软雅黑" w:eastAsia="微软雅黑" w:cs="微软雅黑"/>
          <w:bCs/>
          <w:color w:val="auto"/>
          <w:kern w:val="24"/>
          <w:sz w:val="21"/>
          <w:szCs w:val="21"/>
        </w:rPr>
      </w:pPr>
      <w:r>
        <w:rPr>
          <w:rFonts w:hint="eastAsia" w:ascii="微软雅黑" w:hAnsi="微软雅黑" w:eastAsia="微软雅黑" w:cs="微软雅黑"/>
          <w:bCs/>
          <w:color w:val="auto"/>
          <w:kern w:val="24"/>
          <w:sz w:val="21"/>
          <w:szCs w:val="21"/>
        </w:rPr>
        <w:t>1、不缴纳社保费用的后果；2、如何降低企业社会保险费用；3、劳务公司社保费用风险规避方法</w:t>
      </w:r>
    </w:p>
    <w:p>
      <w:pPr>
        <w:pStyle w:val="6"/>
        <w:kinsoku w:val="0"/>
        <w:overflowPunct w:val="0"/>
        <w:snapToGrid w:val="0"/>
        <w:spacing w:before="0" w:beforeAutospacing="0" w:after="0" w:afterAutospacing="0" w:line="264" w:lineRule="auto"/>
        <w:textAlignment w:val="baseline"/>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kern w:val="24"/>
          <w:sz w:val="21"/>
          <w:szCs w:val="21"/>
        </w:rPr>
        <w:t>4、如果税务局让补缴原来的社保怎么办？5、定了！社保税征基数不变，不会集中清缴；6、</w:t>
      </w:r>
      <w:r>
        <w:rPr>
          <w:rFonts w:hint="eastAsia" w:ascii="微软雅黑" w:hAnsi="微软雅黑" w:eastAsia="微软雅黑" w:cs="微软雅黑"/>
          <w:bCs/>
          <w:color w:val="auto"/>
          <w:kern w:val="24"/>
          <w:sz w:val="21"/>
          <w:szCs w:val="21"/>
          <w:lang w:eastAsia="zh-TW"/>
        </w:rPr>
        <w:t>特殊用工</w:t>
      </w:r>
      <w:r>
        <w:rPr>
          <w:rFonts w:hint="eastAsia" w:ascii="微软雅黑" w:hAnsi="微软雅黑" w:eastAsia="微软雅黑" w:cs="微软雅黑"/>
          <w:bCs/>
          <w:color w:val="auto"/>
          <w:kern w:val="24"/>
          <w:sz w:val="21"/>
          <w:szCs w:val="21"/>
        </w:rPr>
        <w:t>人员</w:t>
      </w:r>
      <w:r>
        <w:rPr>
          <w:rFonts w:hint="eastAsia" w:ascii="微软雅黑" w:hAnsi="微软雅黑" w:eastAsia="微软雅黑" w:cs="微软雅黑"/>
          <w:bCs/>
          <w:color w:val="auto"/>
          <w:kern w:val="24"/>
          <w:sz w:val="21"/>
          <w:szCs w:val="21"/>
          <w:lang w:eastAsia="zh-TW"/>
        </w:rPr>
        <w:t>社保及个税</w:t>
      </w:r>
      <w:r>
        <w:rPr>
          <w:rFonts w:hint="eastAsia" w:ascii="微软雅黑" w:hAnsi="微软雅黑" w:eastAsia="微软雅黑" w:cs="微软雅黑"/>
          <w:bCs/>
          <w:color w:val="auto"/>
          <w:kern w:val="24"/>
          <w:sz w:val="21"/>
          <w:szCs w:val="21"/>
        </w:rPr>
        <w:t>处理；7、界定好不交社保的几种情况</w:t>
      </w:r>
    </w:p>
    <w:p>
      <w:pPr>
        <w:widowControl/>
        <w:kinsoku w:val="0"/>
        <w:overflowPunct w:val="0"/>
        <w:snapToGrid w:val="0"/>
        <w:spacing w:line="264" w:lineRule="auto"/>
        <w:jc w:val="left"/>
        <w:textAlignment w:val="baseline"/>
        <w:rPr>
          <w:rFonts w:hint="eastAsia" w:ascii="微软雅黑" w:hAnsi="微软雅黑" w:eastAsia="微软雅黑" w:cs="微软雅黑"/>
          <w:b/>
          <w:bCs w:val="0"/>
          <w:color w:val="auto"/>
          <w:sz w:val="21"/>
          <w:szCs w:val="21"/>
        </w:rPr>
      </w:pPr>
    </w:p>
    <w:p>
      <w:pPr>
        <w:widowControl/>
        <w:kinsoku w:val="0"/>
        <w:overflowPunct w:val="0"/>
        <w:snapToGrid w:val="0"/>
        <w:spacing w:line="264" w:lineRule="auto"/>
        <w:jc w:val="left"/>
        <w:textAlignment w:val="baseline"/>
        <w:rPr>
          <w:rFonts w:hint="eastAsia" w:ascii="微软雅黑" w:hAnsi="微软雅黑" w:eastAsia="微软雅黑" w:cs="微软雅黑"/>
          <w:b/>
          <w:bCs w:val="0"/>
          <w:color w:val="auto"/>
          <w:sz w:val="21"/>
          <w:szCs w:val="21"/>
        </w:rPr>
      </w:pPr>
      <w:r>
        <w:rPr>
          <w:rFonts w:hint="eastAsia" w:ascii="微软雅黑" w:hAnsi="微软雅黑" w:eastAsia="微软雅黑" w:cs="微软雅黑"/>
          <w:b/>
          <w:bCs w:val="0"/>
          <w:color w:val="auto"/>
          <w:sz w:val="21"/>
          <w:szCs w:val="21"/>
        </w:rPr>
        <w:t>第</w:t>
      </w:r>
      <w:r>
        <w:rPr>
          <w:rFonts w:hint="eastAsia" w:ascii="微软雅黑" w:hAnsi="微软雅黑" w:eastAsia="微软雅黑" w:cs="微软雅黑"/>
          <w:b/>
          <w:bCs w:val="0"/>
          <w:color w:val="auto"/>
          <w:sz w:val="21"/>
          <w:szCs w:val="21"/>
          <w:lang w:val="en-US" w:eastAsia="zh-CN"/>
        </w:rPr>
        <w:t>六</w:t>
      </w:r>
      <w:r>
        <w:rPr>
          <w:rFonts w:hint="eastAsia" w:ascii="微软雅黑" w:hAnsi="微软雅黑" w:eastAsia="微软雅黑" w:cs="微软雅黑"/>
          <w:b/>
          <w:bCs w:val="0"/>
          <w:color w:val="auto"/>
          <w:sz w:val="21"/>
          <w:szCs w:val="21"/>
        </w:rPr>
        <w:t>部分：企业面对金税</w:t>
      </w:r>
      <w:r>
        <w:rPr>
          <w:rFonts w:hint="eastAsia" w:ascii="微软雅黑" w:hAnsi="微软雅黑" w:eastAsia="微软雅黑" w:cs="微软雅黑"/>
          <w:b/>
          <w:bCs w:val="0"/>
          <w:color w:val="auto"/>
          <w:sz w:val="21"/>
          <w:szCs w:val="21"/>
          <w:lang w:val="en-US" w:eastAsia="zh-CN"/>
        </w:rPr>
        <w:t>四</w:t>
      </w:r>
      <w:r>
        <w:rPr>
          <w:rFonts w:hint="eastAsia" w:ascii="微软雅黑" w:hAnsi="微软雅黑" w:eastAsia="微软雅黑" w:cs="微软雅黑"/>
          <w:b/>
          <w:bCs w:val="0"/>
          <w:color w:val="auto"/>
          <w:sz w:val="21"/>
          <w:szCs w:val="21"/>
        </w:rPr>
        <w:t>期，银税联网，社保入税，银行分类账户应如何应对</w:t>
      </w:r>
    </w:p>
    <w:p>
      <w:pPr>
        <w:widowControl/>
        <w:kinsoku w:val="0"/>
        <w:overflowPunct w:val="0"/>
        <w:snapToGrid w:val="0"/>
        <w:spacing w:line="264" w:lineRule="auto"/>
        <w:jc w:val="left"/>
        <w:textAlignment w:val="baseline"/>
        <w:rPr>
          <w:rFonts w:hint="eastAsia" w:ascii="微软雅黑" w:hAnsi="微软雅黑" w:eastAsia="微软雅黑" w:cs="微软雅黑"/>
          <w:bCs/>
          <w:color w:val="auto"/>
          <w:kern w:val="0"/>
          <w:sz w:val="21"/>
          <w:szCs w:val="21"/>
        </w:rPr>
      </w:pPr>
      <w:r>
        <w:rPr>
          <w:rFonts w:hint="eastAsia" w:ascii="微软雅黑" w:hAnsi="微软雅黑" w:eastAsia="微软雅黑" w:cs="微软雅黑"/>
          <w:bCs/>
          <w:color w:val="auto"/>
          <w:kern w:val="24"/>
          <w:sz w:val="21"/>
          <w:szCs w:val="21"/>
        </w:rPr>
        <w:t>1、金税三期的功能，对发票的要求；2、什么是纳税评估?</w:t>
      </w:r>
      <w:r>
        <w:rPr>
          <w:rFonts w:hint="eastAsia" w:ascii="微软雅黑" w:hAnsi="微软雅黑" w:eastAsia="微软雅黑" w:cs="微软雅黑"/>
          <w:bCs/>
          <w:color w:val="auto"/>
          <w:kern w:val="24"/>
          <w:sz w:val="21"/>
          <w:szCs w:val="21"/>
          <w:lang w:val="en-US" w:eastAsia="zh-CN"/>
        </w:rPr>
        <w:t xml:space="preserve"> </w:t>
      </w:r>
      <w:r>
        <w:rPr>
          <w:rFonts w:hint="eastAsia" w:ascii="微软雅黑" w:hAnsi="微软雅黑" w:eastAsia="微软雅黑" w:cs="微软雅黑"/>
          <w:bCs/>
          <w:color w:val="auto"/>
          <w:kern w:val="24"/>
          <w:sz w:val="21"/>
          <w:szCs w:val="21"/>
        </w:rPr>
        <w:t>3、什么是税务稽查？（如何应对？实际案例分析） ；4、国家税务总局重点稽查对象有四类。5、劳务公司成重点稽查对象；6、企业自身哪些行为会带来涉税风险？ 7、因逃避缴纳税款违法行为带来的涉税风险；8、专票电子化政策要点及应对策略</w:t>
      </w:r>
    </w:p>
    <w:p>
      <w:pPr>
        <w:pStyle w:val="2"/>
        <w:shd w:val="clear" w:color="auto" w:fill="FFFFFF"/>
        <w:autoSpaceDE/>
        <w:autoSpaceDN/>
        <w:adjustRightInd/>
        <w:snapToGrid w:val="0"/>
        <w:spacing w:line="264" w:lineRule="auto"/>
        <w:ind w:left="0" w:firstLine="0"/>
        <w:rPr>
          <w:rFonts w:hint="eastAsia" w:ascii="微软雅黑" w:hAnsi="微软雅黑" w:eastAsia="微软雅黑" w:cs="微软雅黑"/>
          <w:bCs/>
          <w:color w:val="auto"/>
          <w:spacing w:val="8"/>
          <w:sz w:val="21"/>
          <w:szCs w:val="21"/>
        </w:rPr>
      </w:pPr>
      <w:r>
        <w:rPr>
          <w:rFonts w:hint="eastAsia" w:ascii="微软雅黑" w:hAnsi="微软雅黑" w:eastAsia="微软雅黑" w:cs="微软雅黑"/>
          <w:bCs/>
          <w:color w:val="auto"/>
          <w:kern w:val="24"/>
          <w:sz w:val="21"/>
          <w:szCs w:val="21"/>
        </w:rPr>
        <w:t>9、</w:t>
      </w:r>
      <w:r>
        <w:rPr>
          <w:rFonts w:hint="eastAsia" w:ascii="微软雅黑" w:hAnsi="微软雅黑" w:eastAsia="微软雅黑" w:cs="微软雅黑"/>
          <w:bCs/>
          <w:color w:val="auto"/>
          <w:spacing w:val="8"/>
          <w:sz w:val="21"/>
          <w:szCs w:val="21"/>
        </w:rPr>
        <w:t>​企业注销时必须要查3年账吗？注销新规定：即日起，企业注销就按这个来！</w:t>
      </w:r>
    </w:p>
    <w:p>
      <w:pPr>
        <w:pStyle w:val="2"/>
        <w:shd w:val="clear" w:color="auto" w:fill="FFFFFF"/>
        <w:autoSpaceDE/>
        <w:autoSpaceDN/>
        <w:adjustRightInd/>
        <w:snapToGrid w:val="0"/>
        <w:spacing w:line="264" w:lineRule="auto"/>
        <w:ind w:left="0" w:firstLine="0"/>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kern w:val="24"/>
          <w:sz w:val="21"/>
          <w:szCs w:val="21"/>
        </w:rPr>
        <w:t>10、</w:t>
      </w:r>
      <w:r>
        <w:rPr>
          <w:rFonts w:hint="eastAsia" w:ascii="微软雅黑" w:hAnsi="微软雅黑" w:eastAsia="微软雅黑" w:cs="微软雅黑"/>
          <w:bCs/>
          <w:color w:val="auto"/>
          <w:spacing w:val="8"/>
          <w:sz w:val="21"/>
          <w:szCs w:val="21"/>
        </w:rPr>
        <w:t>金税四期要来了！这10条红线千万别碰，老板和会计都要知道</w:t>
      </w:r>
    </w:p>
    <w:p>
      <w:pPr>
        <w:spacing w:line="460" w:lineRule="exact"/>
        <w:rPr>
          <w:rFonts w:hint="eastAsia" w:ascii="微软雅黑" w:hAnsi="微软雅黑" w:eastAsia="微软雅黑" w:cs="微软雅黑"/>
          <w:b/>
          <w:color w:val="auto"/>
          <w:sz w:val="21"/>
          <w:szCs w:val="21"/>
        </w:rPr>
      </w:pPr>
      <w:r>
        <w:rPr>
          <w:rFonts w:hint="eastAsia" w:ascii="微软雅黑" w:hAnsi="微软雅黑" w:eastAsia="微软雅黑" w:cs="微软雅黑"/>
          <w:b/>
          <w:color w:val="auto"/>
          <w:sz w:val="21"/>
          <w:szCs w:val="21"/>
        </w:rPr>
        <w:t>课程总结与回顾</w:t>
      </w:r>
    </w:p>
    <w:p>
      <w:pPr>
        <w:widowControl/>
        <w:spacing w:line="460" w:lineRule="exac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 课程主要内容总结与回顾</w:t>
      </w:r>
    </w:p>
    <w:p>
      <w:pPr>
        <w:widowControl/>
        <w:spacing w:line="460" w:lineRule="exact"/>
        <w:rPr>
          <w:rFonts w:hint="eastAsia" w:ascii="微软雅黑" w:hAnsi="微软雅黑" w:eastAsia="微软雅黑" w:cs="微软雅黑"/>
          <w:b/>
          <w:bCs/>
          <w:sz w:val="21"/>
          <w:szCs w:val="21"/>
        </w:rPr>
      </w:pPr>
      <w:r>
        <w:rPr>
          <w:rFonts w:hint="eastAsia" w:ascii="微软雅黑" w:hAnsi="微软雅黑" w:eastAsia="微软雅黑" w:cs="微软雅黑"/>
          <w:color w:val="auto"/>
          <w:sz w:val="21"/>
          <w:szCs w:val="21"/>
        </w:rPr>
        <w:t>2. 答疑解惑</w:t>
      </w:r>
    </w:p>
    <w:p>
      <w:pPr>
        <w:spacing w:line="460" w:lineRule="exact"/>
        <w:jc w:val="both"/>
        <w:rPr>
          <w:rFonts w:hint="eastAsia" w:ascii="微软雅黑" w:hAnsi="微软雅黑" w:eastAsia="微软雅黑" w:cs="微软雅黑"/>
          <w:b/>
          <w:bCs/>
          <w:color w:val="C00000"/>
          <w:sz w:val="21"/>
          <w:szCs w:val="21"/>
        </w:rPr>
      </w:pPr>
    </w:p>
    <w:p>
      <w:pPr>
        <w:spacing w:line="460" w:lineRule="exact"/>
        <w:jc w:val="both"/>
        <w:rPr>
          <w:rFonts w:hint="eastAsia" w:ascii="微软雅黑" w:hAnsi="微软雅黑" w:eastAsia="微软雅黑" w:cs="微软雅黑"/>
          <w:b/>
          <w:bCs/>
          <w:color w:val="C00000"/>
          <w:sz w:val="21"/>
          <w:szCs w:val="21"/>
          <w:lang w:val="en-US" w:eastAsia="zh-CN"/>
        </w:rPr>
      </w:pPr>
      <w:r>
        <w:rPr>
          <w:rFonts w:hint="eastAsia" w:ascii="微软雅黑" w:hAnsi="微软雅黑" w:eastAsia="微软雅黑" w:cs="微软雅黑"/>
          <w:b/>
          <w:bCs/>
          <w:color w:val="C00000"/>
          <w:sz w:val="21"/>
          <w:szCs w:val="21"/>
        </w:rPr>
        <w:t xml:space="preserve">【讲师简介】 </w:t>
      </w:r>
      <w:r>
        <w:rPr>
          <w:rFonts w:hint="eastAsia" w:ascii="微软雅黑" w:hAnsi="微软雅黑" w:eastAsia="微软雅黑" w:cs="微软雅黑"/>
          <w:b/>
          <w:bCs/>
          <w:color w:val="C00000"/>
          <w:sz w:val="21"/>
          <w:szCs w:val="21"/>
          <w:lang w:val="en-US" w:eastAsia="zh-CN"/>
        </w:rPr>
        <w:t xml:space="preserve"> </w:t>
      </w:r>
    </w:p>
    <w:p>
      <w:pPr>
        <w:pStyle w:val="6"/>
        <w:spacing w:before="0" w:beforeAutospacing="0" w:after="0" w:afterAutospacing="0" w:line="460" w:lineRule="exact"/>
        <w:ind w:left="210" w:leftChars="100"/>
        <w:jc w:val="both"/>
        <w:rPr>
          <w:rFonts w:hint="eastAsia" w:ascii="微软雅黑" w:hAnsi="微软雅黑" w:eastAsia="微软雅黑" w:cs="微软雅黑"/>
          <w:b/>
          <w:color w:val="auto"/>
          <w:sz w:val="32"/>
          <w:szCs w:val="32"/>
        </w:rPr>
      </w:pPr>
      <w:r>
        <w:rPr>
          <w:rFonts w:hint="eastAsia" w:ascii="微软雅黑" w:hAnsi="微软雅黑" w:eastAsia="微软雅黑" w:cs="微软雅黑"/>
          <w:color w:val="auto"/>
          <w:sz w:val="28"/>
          <w:szCs w:val="28"/>
        </w:rPr>
        <w:drawing>
          <wp:anchor distT="0" distB="0" distL="114300" distR="114300" simplePos="0" relativeHeight="251659264" behindDoc="1" locked="0" layoutInCell="1" allowOverlap="0">
            <wp:simplePos x="0" y="0"/>
            <wp:positionH relativeFrom="column">
              <wp:posOffset>4020820</wp:posOffset>
            </wp:positionH>
            <wp:positionV relativeFrom="paragraph">
              <wp:posOffset>147320</wp:posOffset>
            </wp:positionV>
            <wp:extent cx="1697990" cy="2548255"/>
            <wp:effectExtent l="0" t="0" r="8890" b="12065"/>
            <wp:wrapTight wrapText="bothSides">
              <wp:wrapPolygon>
                <wp:start x="0" y="0"/>
                <wp:lineTo x="0" y="21444"/>
                <wp:lineTo x="21325" y="21444"/>
                <wp:lineTo x="21325" y="0"/>
                <wp:lineTo x="0" y="0"/>
              </wp:wrapPolygon>
            </wp:wrapTight>
            <wp:docPr id="1" name="图片 1" descr="D:\00 谢丽\谢丽相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 谢丽\谢丽相片.jpg"/>
                    <pic:cNvPicPr>
                      <a:picLocks noChangeAspect="1" noChangeArrowheads="1"/>
                    </pic:cNvPicPr>
                  </pic:nvPicPr>
                  <pic:blipFill>
                    <a:blip r:embed="rId5" cstate="print"/>
                    <a:stretch>
                      <a:fillRect/>
                    </a:stretch>
                  </pic:blipFill>
                  <pic:spPr>
                    <a:xfrm>
                      <a:off x="0" y="0"/>
                      <a:ext cx="1697990" cy="2548255"/>
                    </a:xfrm>
                    <a:prstGeom prst="rect">
                      <a:avLst/>
                    </a:prstGeom>
                    <a:noFill/>
                    <a:ln>
                      <a:noFill/>
                    </a:ln>
                  </pic:spPr>
                </pic:pic>
              </a:graphicData>
            </a:graphic>
          </wp:anchor>
        </w:drawing>
      </w:r>
      <w:r>
        <w:rPr>
          <w:rFonts w:hint="eastAsia" w:ascii="微软雅黑" w:hAnsi="微软雅黑" w:eastAsia="微软雅黑" w:cs="微软雅黑"/>
          <w:b/>
          <w:color w:val="auto"/>
          <w:sz w:val="28"/>
          <w:szCs w:val="28"/>
        </w:rPr>
        <w:t>谢丽老师  财务管理实战专家</w:t>
      </w:r>
    </w:p>
    <w:p>
      <w:pPr>
        <w:pStyle w:val="6"/>
        <w:adjustRightInd w:val="0"/>
        <w:snapToGrid w:val="0"/>
        <w:spacing w:before="0" w:beforeAutospacing="0" w:after="0" w:afterAutospacing="0" w:line="460" w:lineRule="exact"/>
        <w:ind w:left="210" w:leftChars="100"/>
        <w:jc w:val="both"/>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北京大学金融硕士                                     </w:t>
      </w:r>
    </w:p>
    <w:p>
      <w:pPr>
        <w:pStyle w:val="6"/>
        <w:adjustRightInd w:val="0"/>
        <w:snapToGrid w:val="0"/>
        <w:spacing w:before="0" w:beforeAutospacing="0" w:after="0" w:afterAutospacing="0" w:line="460" w:lineRule="exact"/>
        <w:ind w:left="210" w:leftChars="100"/>
        <w:jc w:val="both"/>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美国注册管理会计师（CMA）</w:t>
      </w:r>
    </w:p>
    <w:p>
      <w:pPr>
        <w:pStyle w:val="6"/>
        <w:adjustRightInd w:val="0"/>
        <w:snapToGrid w:val="0"/>
        <w:spacing w:before="0" w:beforeAutospacing="0" w:after="0" w:afterAutospacing="0" w:line="460" w:lineRule="exact"/>
        <w:ind w:left="210" w:leftChars="100"/>
        <w:jc w:val="both"/>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中级会计师</w:t>
      </w:r>
    </w:p>
    <w:p>
      <w:pPr>
        <w:pStyle w:val="6"/>
        <w:adjustRightInd w:val="0"/>
        <w:snapToGrid w:val="0"/>
        <w:spacing w:before="0" w:beforeAutospacing="0" w:after="0" w:afterAutospacing="0" w:line="460" w:lineRule="exact"/>
        <w:ind w:left="210" w:leftChars="100"/>
        <w:jc w:val="both"/>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现任：深圳极点股权投资基金管理有限公司 风控合伙人</w:t>
      </w:r>
    </w:p>
    <w:p>
      <w:pPr>
        <w:pStyle w:val="6"/>
        <w:spacing w:before="0" w:beforeAutospacing="0" w:after="0" w:afterAutospacing="0" w:line="460" w:lineRule="exact"/>
        <w:ind w:left="210" w:leftChars="100"/>
        <w:jc w:val="both"/>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曾任：广州市蓝谷智能家居股份有限公司 财总董秘</w:t>
      </w:r>
    </w:p>
    <w:p>
      <w:pPr>
        <w:pStyle w:val="6"/>
        <w:spacing w:before="0" w:beforeAutospacing="0" w:after="0" w:afterAutospacing="0" w:line="460" w:lineRule="exact"/>
        <w:ind w:left="210" w:leftChars="100"/>
        <w:jc w:val="both"/>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曾任：深圳市云中鹤科技股份有限公司 董事财总董秘</w:t>
      </w:r>
    </w:p>
    <w:p>
      <w:pPr>
        <w:pStyle w:val="6"/>
        <w:spacing w:before="0" w:beforeAutospacing="0" w:after="0" w:afterAutospacing="0" w:line="460" w:lineRule="exact"/>
        <w:ind w:left="210" w:leftChars="100"/>
        <w:jc w:val="both"/>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曾任：帝光国际(DGNG)  总部财务经理  </w:t>
      </w:r>
    </w:p>
    <w:p>
      <w:pPr>
        <w:pStyle w:val="6"/>
        <w:spacing w:before="0" w:beforeAutospacing="0" w:after="0" w:afterAutospacing="0" w:line="460" w:lineRule="exact"/>
        <w:ind w:left="210" w:leftChars="100"/>
        <w:jc w:val="both"/>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曾任：南太集团（NTP)  管理会计师</w:t>
      </w:r>
    </w:p>
    <w:p>
      <w:pPr>
        <w:widowControl/>
        <w:overflowPunct/>
        <w:ind w:firstLine="420" w:firstLineChars="20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 </w:t>
      </w:r>
    </w:p>
    <w:p>
      <w:pPr>
        <w:widowControl/>
        <w:overflowPunct/>
        <w:ind w:firstLine="420" w:firstLineChars="200"/>
        <w:jc w:val="left"/>
        <w:rPr>
          <w:rFonts w:hint="eastAsia" w:ascii="微软雅黑" w:hAnsi="微软雅黑" w:eastAsia="微软雅黑" w:cs="微软雅黑"/>
          <w:sz w:val="21"/>
          <w:szCs w:val="21"/>
        </w:rPr>
      </w:pPr>
      <w:r>
        <w:rPr>
          <w:rFonts w:hint="eastAsia" w:ascii="微软雅黑" w:hAnsi="微软雅黑" w:eastAsia="微软雅黑" w:cs="微软雅黑"/>
          <w:color w:val="auto"/>
          <w:sz w:val="21"/>
          <w:szCs w:val="21"/>
        </w:rPr>
        <w:t>谢老师拥有近</w:t>
      </w:r>
      <w:r>
        <w:rPr>
          <w:rFonts w:hint="eastAsia" w:ascii="微软雅黑" w:hAnsi="微软雅黑" w:eastAsia="微软雅黑" w:cs="微软雅黑"/>
          <w:b/>
          <w:color w:val="auto"/>
          <w:sz w:val="21"/>
          <w:szCs w:val="21"/>
        </w:rPr>
        <w:t>20年的财务管理经验</w:t>
      </w:r>
      <w:r>
        <w:rPr>
          <w:rFonts w:hint="eastAsia" w:ascii="微软雅黑" w:hAnsi="微软雅黑" w:eastAsia="微软雅黑" w:cs="微软雅黑"/>
          <w:color w:val="auto"/>
          <w:sz w:val="21"/>
          <w:szCs w:val="21"/>
        </w:rPr>
        <w:t>，分别在美国上市公司、大型民营企业等公司担任过高级财务经理及财务总监、董事会秘书，跨生产制造、批发零售、互联网等诸多领域，擅长财务管理咨询及税务筹划，帮助企业梳理股权结构，为资本运作扫清障碍，对民营中小企业的财务管理困境有很深的理解与感悟。</w:t>
      </w:r>
      <w:r>
        <w:rPr>
          <w:rFonts w:hint="eastAsia" w:ascii="微软雅黑" w:hAnsi="微软雅黑" w:eastAsia="微软雅黑" w:cs="微软雅黑"/>
          <w:b/>
          <w:color w:val="auto"/>
          <w:sz w:val="21"/>
          <w:szCs w:val="21"/>
        </w:rPr>
        <w:t>常年担任深圳来去技术、香港瑞华集团企业财务顾问，协助企业财务合规和商业模式顶层设计，为企业股权融资数千万元</w:t>
      </w:r>
      <w:r>
        <w:rPr>
          <w:rFonts w:hint="eastAsia" w:ascii="微软雅黑" w:hAnsi="微软雅黑" w:eastAsia="微软雅黑" w:cs="微软雅黑"/>
          <w:color w:val="auto"/>
          <w:sz w:val="21"/>
          <w:szCs w:val="21"/>
        </w:rPr>
        <w:t>。先后主导过两家</w:t>
      </w:r>
      <w:r>
        <w:rPr>
          <w:rFonts w:hint="eastAsia" w:ascii="微软雅黑" w:hAnsi="微软雅黑" w:eastAsia="微软雅黑" w:cs="微软雅黑"/>
          <w:color w:val="auto"/>
        </w:rPr>
        <w:t>公司挂牌新三板，主导过公司并购转型和企业被上市公司并购，主导过企业股权激励方案实施。为多家企业提供咨询培训服务，曾对上千份财务报表进行分析，并能现场提出企业管理改进建议，获得企业家们的一致好评。</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inline distT="0" distB="0" distL="114300" distR="114300">
          <wp:extent cx="1685925" cy="438150"/>
          <wp:effectExtent l="0" t="0" r="5715" b="3810"/>
          <wp:docPr id="5" name="图片 3" descr="1603075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1603075590(1)"/>
                  <pic:cNvPicPr>
                    <a:picLocks noChangeAspect="1"/>
                  </pic:cNvPicPr>
                </pic:nvPicPr>
                <pic:blipFill>
                  <a:blip r:embed="rId1"/>
                  <a:stretch>
                    <a:fillRect/>
                  </a:stretch>
                </pic:blipFill>
                <pic:spPr>
                  <a:xfrm>
                    <a:off x="0" y="0"/>
                    <a:ext cx="16859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801D02"/>
    <w:multiLevelType w:val="singleLevel"/>
    <w:tmpl w:val="CC801D02"/>
    <w:lvl w:ilvl="0" w:tentative="0">
      <w:start w:val="1"/>
      <w:numFmt w:val="chineseCounting"/>
      <w:suff w:val="nothing"/>
      <w:lvlText w:val="%1、"/>
      <w:lvlJc w:val="left"/>
      <w:rPr>
        <w:rFonts w:hint="eastAsia"/>
      </w:rPr>
    </w:lvl>
  </w:abstractNum>
  <w:abstractNum w:abstractNumId="1">
    <w:nsid w:val="7DFBCEF0"/>
    <w:multiLevelType w:val="singleLevel"/>
    <w:tmpl w:val="7DFBCEF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C4878"/>
    <w:rsid w:val="1D3C4878"/>
    <w:rsid w:val="41427DA3"/>
    <w:rsid w:val="5DE31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2"/>
    <w:basedOn w:val="1"/>
    <w:next w:val="1"/>
    <w:qFormat/>
    <w:uiPriority w:val="99"/>
    <w:pPr>
      <w:autoSpaceDE w:val="0"/>
      <w:autoSpaceDN w:val="0"/>
      <w:adjustRightInd w:val="0"/>
      <w:ind w:left="270" w:hanging="270"/>
      <w:jc w:val="left"/>
      <w:outlineLvl w:val="1"/>
    </w:pPr>
    <w:rPr>
      <w:rFonts w:hAnsi="Arial" w:cs="宋体"/>
      <w:kern w:val="0"/>
      <w:sz w:val="32"/>
      <w:szCs w:val="32"/>
      <w:lang w:val="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paragraph" w:styleId="10">
    <w:name w:val="List Paragraph"/>
    <w:basedOn w:val="1"/>
    <w:qFormat/>
    <w:uiPriority w:val="34"/>
    <w:pPr>
      <w:ind w:firstLine="420" w:firstLineChars="200"/>
    </w:pPr>
    <w:rPr>
      <w:rFonts w:ascii="Calibri" w:hAnsi="Calibri"/>
      <w:szCs w:val="22"/>
    </w:rPr>
  </w:style>
  <w:style w:type="paragraph" w:customStyle="1" w:styleId="11">
    <w:name w:val="列出段落3"/>
    <w:basedOn w:val="1"/>
    <w:qFormat/>
    <w:uiPriority w:val="0"/>
    <w:pPr>
      <w:adjustRightInd/>
      <w:snapToGrid/>
      <w:spacing w:after="0"/>
      <w:ind w:firstLine="420" w:firstLineChars="200"/>
    </w:pPr>
    <w:rPr>
      <w:rFonts w:ascii="宋体" w:hAnsi="宋体" w:eastAsia="宋体" w:cs="宋体"/>
      <w:sz w:val="24"/>
      <w:szCs w:val="24"/>
    </w:rPr>
  </w:style>
  <w:style w:type="paragraph" w:customStyle="1" w:styleId="12">
    <w:name w:val="列出段落5"/>
    <w:basedOn w:val="1"/>
    <w:qFormat/>
    <w:uiPriority w:val="0"/>
    <w:pPr>
      <w:adjustRightInd/>
      <w:snapToGrid/>
      <w:spacing w:after="0"/>
      <w:ind w:firstLine="420" w:firstLineChars="200"/>
    </w:pPr>
    <w:rPr>
      <w:rFonts w:ascii="宋体" w:hAnsi="宋体" w:eastAsia="宋体" w:cs="宋体"/>
      <w:sz w:val="24"/>
      <w:szCs w:val="24"/>
    </w:rPr>
  </w:style>
  <w:style w:type="paragraph" w:customStyle="1" w:styleId="13">
    <w:name w:val="列出段落4"/>
    <w:basedOn w:val="1"/>
    <w:qFormat/>
    <w:uiPriority w:val="99"/>
    <w:pPr>
      <w:adjustRightInd/>
      <w:snapToGrid/>
      <w:spacing w:after="0"/>
      <w:ind w:firstLine="420" w:firstLineChars="200"/>
    </w:pPr>
    <w:rPr>
      <w:rFonts w:ascii="宋体" w:hAnsi="宋体" w:eastAsia="宋体" w:cs="宋体"/>
      <w:sz w:val="24"/>
      <w:szCs w:val="24"/>
    </w:rPr>
  </w:style>
  <w:style w:type="paragraph" w:customStyle="1" w:styleId="14">
    <w:name w:val="列出段落7"/>
    <w:basedOn w:val="1"/>
    <w:qFormat/>
    <w:uiPriority w:val="0"/>
    <w:pPr>
      <w:adjustRightInd/>
      <w:snapToGrid/>
      <w:spacing w:after="0"/>
      <w:ind w:firstLine="420" w:firstLineChars="200"/>
    </w:pPr>
    <w:rPr>
      <w:rFonts w:ascii="宋体" w:hAnsi="宋体" w:eastAsia="宋体" w:cs="宋体"/>
      <w:sz w:val="24"/>
      <w:szCs w:val="24"/>
    </w:rPr>
  </w:style>
  <w:style w:type="paragraph" w:customStyle="1" w:styleId="15">
    <w:name w:val="列表段落1"/>
    <w:basedOn w:val="1"/>
    <w:qFormat/>
    <w:uiPriority w:val="0"/>
    <w:pPr>
      <w:adjustRightInd/>
      <w:snapToGrid/>
      <w:spacing w:after="0"/>
      <w:ind w:firstLine="420" w:firstLineChars="200"/>
    </w:pPr>
    <w:rPr>
      <w:rFonts w:ascii="宋体" w:hAnsi="宋体" w:eastAsia="宋体" w:cs="宋体"/>
      <w:sz w:val="24"/>
      <w:szCs w:val="24"/>
    </w:rPr>
  </w:style>
  <w:style w:type="character" w:customStyle="1" w:styleId="16">
    <w:name w:val="9p1"/>
    <w:basedOn w:val="8"/>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2021-08-25T08:00:00Z</dcterms:created>
  <dc:creator>拉儿</dc:creator>
  <cp:lastModifiedBy>拉儿</cp:lastModifiedBy>
  <dcterms:modified xsi:type="dcterms:W3CDTF">2021-09-06T03:24:29Z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DC5D87D8C81D434F90C70CA1E7C891EF</vt:lpwstr>
  </property>
</Properties>
</file>