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-287020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0.95pt;margin-top:-22.6pt;height:31.2pt;width:65.7pt;z-index:251660288;mso-width-relative:page;mso-height-relative:page;" filled="f" stroked="f" coordsize="21600,21600" o:gfxdata="UEsDBAoAAAAAAIdO4kAAAAAAAAAAAAAAAAAEAAAAZHJzL1BLAwQUAAAACACHTuJAXzerctoAAAAI&#10;AQAADwAAAGRycy9kb3ducmV2LnhtbE2PwU7DMBBE70j8g7VIXFBrNymlhDg9UPWAACFaBBzdZEki&#10;4nUUO0nL17M9wW1HM5p9k64OthEDdr52pGE2VSCQclfUVGp4220mSxA+GCpM4wg1HNHDKjs/S01S&#10;uJFecdiGUnAJ+cRoqEJoEyl9XqE1fupaJPa+XGdNYNmVsujMyOW2kZFSC2lNTfyhMi3eV5h/b3ur&#10;YXhW8/en/OPYX23Wnw/Ll7V/HH+0vryYqTsQAQ/hLwwnfEaHjJn2rqfCi4b1LQc1TObXEYiTH8cx&#10;iD0fNxHILJX/B2S/UEsDBBQAAAAIAIdO4kBd3k2vtwEAAFkDAAAOAAAAZHJzL2Uyb0RvYy54bWyt&#10;U0tu2zAQ3RfoHQjuazl2PrZgOUBhpJuiLZD0ADRFWgRIDsGhLfkC7Q266qb7nsvn6JB2nCLZZJEN&#10;NZzPm3lvqMXt4CzbqYgGfMMvRmPOlJfQGr9p+PeHuw8zzjAJ3woLXjV8r5DfLt+/W/ShVhPowLYq&#10;MgLxWPeh4V1Koa4qlJ1yAkcQlKeghuhEomvcVG0UPaE7W03G4+uqh9iGCFIhknd1DPITYnwNIGht&#10;pFqB3Drl0xE1KisSUcLOBOTLMq3WSqavWqNKzDacmKZyUhOy1/mslgtRb6IInZGnEcRrRnjGyQnj&#10;qekZaiWSYNtoXkA5IyMg6DSS4KojkaIIsbgYP9PmvhNBFS4kNYaz6Ph2sPLL7ltkpqWXMOfMC0cb&#10;P/z6efj99/DnB5veZIH6gDXl3QfKTMNHGCj50Y/kzLwHHV3+EiNGcZJ3f5ZXDYlJcs6ml9M5RSSF&#10;pvPryWWRv3oqDhHTJwWOZaPhkbZXRBW7z5hoEEp9TMm9PNwZa8sGrWc9TXU1u7kqFecQlVhPlZnD&#10;cdZspWE9nIitod0Tr22IZtNR08KspJPipeXpdeSV/n8voE9/xP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zerctoAAAAIAQAADwAAAAAAAAABACAAAAAiAAAAZHJzL2Rvd25yZXYueG1sUEsBAhQA&#10;FAAAAAgAh07iQF3eTa+3AQAAWQ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管理职业化与管理新模式（赢在中层升级版）第二期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：方永飞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（共创会创始人、会长；光华-共创会EMBA教学长；共创资本董事长、天使投资人）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企业高层管理者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4200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</w:p>
    <w:p>
      <w:pPr>
        <w:jc w:val="left"/>
        <w:rPr>
          <w:rFonts w:ascii="黑体" w:hAnsi="黑体" w:eastAsia="黑体" w:cs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掌握职业化的关键点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掌握企业的职业化管理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掌握管理的认知思维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掌握企业管理者的角色定位</w:t>
      </w:r>
    </w:p>
    <w:p>
      <w:pPr>
        <w:widowControl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   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一、企业经营当前面临的形势与考验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企业竞争优势的发展趋势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企业当前面临的生死考验，老赛道和新赛道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时代已经变了</w:t>
      </w: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二、职业化认知的关键点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课程的关键点：职业化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职业化定义：视频解析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职业化的重要性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案例：海底捞</w:t>
      </w: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三、职业化团队打造的重要基础——系统化建设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系统化是什么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地基建设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体系化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数字化</w:t>
      </w: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四、体系化的管理工具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4R制度执行体系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PDCA管理体系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联想复盘体系</w:t>
      </w: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五、管理工具实施的难点：持之以恒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聂圣哲的管理哲学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管理四句真言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职人VS 匠人</w:t>
      </w: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六、如何成为匠人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心流的概念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心流产生的情况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如何进入心流状态</w:t>
      </w: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46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七、三个力和四个“位”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愿力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能力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潜力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四个“位”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人才评估的334模型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八、职人到匠人关键是突破拐点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拐点原理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荷花效应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厚积薄发，有容乃大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“容”的哲学意义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九、公司需要什么样的人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公司常见情况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优秀领导角色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十、把员工分类区别对待</w:t>
      </w:r>
    </w:p>
    <w:p>
      <w:pPr>
        <w:widowControl w:val="0"/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什么才是企业最宝贵的财富</w:t>
      </w:r>
    </w:p>
    <w:p>
      <w:pPr>
        <w:widowControl w:val="0"/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好员工的定义</w:t>
      </w:r>
    </w:p>
    <w:p>
      <w:pPr>
        <w:widowControl w:val="0"/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把员工分类区别对待的方法</w:t>
      </w:r>
    </w:p>
    <w:p>
      <w:pPr>
        <w:widowControl w:val="0"/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记住：凡是影响好员工积极性的决定都是错的！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十一、企业的职业化管理</w:t>
      </w:r>
    </w:p>
    <w:p>
      <w:pPr>
        <w:widowControl w:val="0"/>
        <w:numPr>
          <w:ilvl w:val="0"/>
          <w:numId w:val="1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企业员工的资产和负债</w:t>
      </w:r>
    </w:p>
    <w:p>
      <w:pPr>
        <w:widowControl w:val="0"/>
        <w:numPr>
          <w:ilvl w:val="0"/>
          <w:numId w:val="1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职业化二十宫格</w:t>
      </w:r>
    </w:p>
    <w:p>
      <w:pPr>
        <w:widowControl w:val="0"/>
        <w:numPr>
          <w:ilvl w:val="0"/>
          <w:numId w:val="1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职业化三个重要特质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十二、做对事情的正确方式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作对决定的重要性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作对决定的原则：揣着聪明装糊涂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系统全面的分析方法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做对决策的三方面认识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结构主义的认知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认知层次和降维打击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十三、管理思维认知升级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热爱，否则无可救药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变革的正解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永远对未来充满乐观期待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企业可持续发展的两个关键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以人为本与优胜劣汰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企业需不需要严格的管理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十四、优秀企业“新中层”的角色定位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角色定位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管理人员的四个核心任务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正确的看待失败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管理者如何对待企业成长过程中的问题？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十五、企业改革能否成功的关键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中层的立场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color w:val="auto"/>
        </w:rPr>
      </w:pPr>
      <w:r>
        <w:rPr>
          <w:rFonts w:hint="eastAsia"/>
          <w:b w:val="0"/>
          <w:bCs/>
          <w:color w:val="auto"/>
          <w:szCs w:val="22"/>
          <w:lang w:eastAsia="zh-CN"/>
        </w:rPr>
        <w:t>人际关系成功法则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color w:val="FF0000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color w:val="FF0000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114300</wp:posOffset>
                </wp:positionV>
                <wp:extent cx="3762375" cy="1666875"/>
                <wp:effectExtent l="0" t="0" r="9525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  <w:t>方永飞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共创会创始人、会长；光华-共创会EMBA教学长；共创资本董事长、天使投资人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2.2pt;margin-top:9pt;height:131.25pt;width:296.25pt;z-index:251662336;mso-width-relative:page;mso-height-relative:page;" fillcolor="#FFFFFF" filled="t" stroked="f" coordsize="21600,21600" o:gfxdata="UEsDBAoAAAAAAIdO4kAAAAAAAAAAAAAAAAAEAAAAZHJzL1BLAwQUAAAACACHTuJAEDnTuNsAAAAK&#10;AQAADwAAAGRycy9kb3ducmV2LnhtbE2PQU+DQBCF7yb+h82YeGnsQi1IkaUHE+PF2LRqvG7ZERB2&#10;Ftktrf++40mPk/flzfeK9cn2YsLRt44UxPMIBFLlTEu1grfXx5sMhA+ajO4doYIf9LAuLy8KnRt3&#10;pC1Ou1ALLiGfawVNCEMupa8atNrP3YDE2acbrQ58jrU0oz5yue3lIopSaXVL/KHRAz40WHW7g1Xw&#10;kvhuht/P2+ori7vZ3dP0/rHZKHV9FUf3IAKewh8Mv/qsDiU77d2BjBe9gtt0uWSUg4w3MbBK0hWI&#10;vYJFFiUgy0L+n1CeAVBLAwQUAAAACACHTuJA4jmqkBECAAAzBAAADgAAAGRycy9lMm9Eb2MueG1s&#10;rVPNjtMwEL4j8Q6W7zRNq+0uVdMVUJULAsSCOLuOk1jyHx6nSV8A3oATl73zXH0Oxk7arhYJ7YEc&#10;nPHM+Jv5Po9Xt71WZC88SGsKmk+mlAjDbSlNXdAvn7cvbiiBwEzJlDWioAcB9Hb9/Nmqc0sxs41V&#10;pfAEQQwsO1fQJgS3zDLgjdAMJtYJg8HKes0Cbn2dlZ51iK5VNptOF1lnfem85QIAvZshSEdE/xRA&#10;W1WSi43lrRYmDKheKBaQEjTSAV2nbqtK8PChqkAEogqKTENasQjau7hm6xVb1p65RvKxBfaUFh5x&#10;0kwaLHqG2rDASOvlX1Bacm/BVmHCrc4GIkkRZJFPH2lz1zAnEheUGtxZdPh/sPz9/qMnssRJmFFi&#10;mMYbP/78cfz1+3j/ncxfRoE6B0vMu3OYGfrXtsfkkx/QGXn3ldfxj4wIxlHew1le0QfC0Tm/Xszm&#10;11eUcIzli8XiBjeIn12OOw/hrbCaRKOgHu8vycr27yAMqaeUUe1yK5Ui3oavMjRJsFg3BQHPDAZx&#10;FjUb3ODr3RvlyZ7hSGzTNzZRw8PsfBq/hPTvI9h+fSqlpCEsPqRxsoJU4hOSGFrHOUvtxjLKkA5V&#10;uIoaxL2xkciQpwyKElUf1I1W6Hc9BqO5s+UBb6LDoS0ofGuZF5S0zsu6QcnyEe1VG2wlU+HLoREW&#10;ZympPs59HNaH+5R1eev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A507jbAAAACgEAAA8AAAAA&#10;AAAAAQAgAAAAIgAAAGRycy9kb3ducmV2LnhtbFBLAQIUABQAAAAIAIdO4kDiOaqQEQIAADMEAAAO&#10;AAAAAAAAAAEAIAAAACo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  <w:t>方永飞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共创会创始人、会长；光华-共创会EMBA教学长；共创资本董事长、天使投资人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906905" cy="2288540"/>
            <wp:effectExtent l="3810" t="3810" r="13335" b="12700"/>
            <wp:docPr id="4" name="图片 4" descr="F:\2018年\杭州公开课\3月\方永飞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2018年\杭州公开课\3月\方永飞\图片1.png图片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28854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股权设计及创新专家、移动互联网驱动企业经营管理创新领域的实践者与推动者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共创会创始人、会长；共创会流量联盟首席发起人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共创资本董事长 、天使投资人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杭州市电商专委会副主任；共同体研习社发起人、原浙江大学主讲教授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微学、光华赋能、步步为赢、共同体董事长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著作有《赢在中层》、《顶尖销售》、《自组织》、《开放的力量》、《人才大厦》等等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spacing w:line="240" w:lineRule="auto"/>
        <w:ind w:firstLine="420" w:firstLineChars="200"/>
        <w:rPr>
          <w:rFonts w:ascii="微软雅黑" w:hAnsi="微软雅黑" w:eastAsia="宋体" w:cs="宋体"/>
          <w:color w:val="auto"/>
          <w:sz w:val="21"/>
          <w:szCs w:val="21"/>
        </w:rPr>
      </w:pPr>
      <w:r>
        <w:rPr>
          <w:rFonts w:ascii="微软雅黑" w:hAnsi="微软雅黑" w:eastAsia="宋体" w:cs="宋体"/>
          <w:color w:val="auto"/>
          <w:sz w:val="21"/>
          <w:szCs w:val="21"/>
        </w:rPr>
        <w:t>他一直都是一个践行者，孜孜以求引领</w:t>
      </w:r>
      <w:r>
        <w:rPr>
          <w:rFonts w:hint="eastAsia" w:ascii="微软雅黑" w:hAnsi="微软雅黑" w:eastAsia="宋体" w:cs="宋体"/>
          <w:color w:val="auto"/>
          <w:sz w:val="21"/>
          <w:szCs w:val="21"/>
          <w:lang w:eastAsia="zh-CN"/>
        </w:rPr>
        <w:t>与实践</w:t>
      </w:r>
      <w:r>
        <w:rPr>
          <w:rFonts w:ascii="微软雅黑" w:hAnsi="微软雅黑" w:eastAsia="宋体" w:cs="宋体"/>
          <w:color w:val="auto"/>
          <w:sz w:val="21"/>
          <w:szCs w:val="21"/>
        </w:rPr>
        <w:t>新商业文明，创办的公司也一直都是小而美的典范，他一直用实践去尝试哪种企业模式最给力！方永飞教授的课嬉笑怒骂，妙趣横生，人称管理界的郭德纲，与外貌无关。他的一席话，一堂课，一即一切。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pStyle w:val="46"/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结合移动互联网，方老师颠覆性的推出了助推中小企业管理系统发展的云管理平台—共同体GTT云管理平台，有效的帮助企业解决了绩效管理和员工职业化发展的两大痛点。同时，GTT也被认为是OA的终结者。</w:t>
      </w:r>
    </w:p>
    <w:p>
      <w:pPr>
        <w:ind w:firstLine="420" w:firstLineChars="200"/>
        <w:jc w:val="left"/>
        <w:rPr>
          <w:rFonts w:hint="default" w:ascii="宋体" w:hAnsi="宋体"/>
          <w:bCs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10月22、23日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《企业财务报表分析与舞弊识别》</w:t>
      </w:r>
    </w:p>
    <w:p>
      <w:pPr>
        <w:spacing w:line="360" w:lineRule="auto"/>
        <w:ind w:left="559" w:leftChars="266" w:firstLine="0" w:firstLineChars="0"/>
        <w:rPr>
          <w:rFonts w:ascii="微软雅黑" w:hAnsi="微软雅黑" w:eastAsia="微软雅黑"/>
          <w:b/>
          <w:sz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贾虎</w:t>
      </w:r>
      <w:r>
        <w:rPr>
          <w:rFonts w:hint="eastAsia" w:ascii="仿宋" w:hAnsi="仿宋" w:eastAsia="仿宋" w:cs="仿宋"/>
          <w:color w:val="7F7F7F" w:themeColor="background1" w:themeShade="80"/>
          <w:sz w:val="28"/>
          <w:szCs w:val="28"/>
          <w:lang w:eastAsia="zh-CN"/>
        </w:rPr>
        <w:t>（中国注册会计师，国际会计师（AIA））</w:t>
      </w: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29E55"/>
    <w:multiLevelType w:val="singleLevel"/>
    <w:tmpl w:val="9BB29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E67354C"/>
    <w:multiLevelType w:val="singleLevel"/>
    <w:tmpl w:val="AE6735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CE904A11"/>
    <w:multiLevelType w:val="singleLevel"/>
    <w:tmpl w:val="CE904A1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D44CBC7F"/>
    <w:multiLevelType w:val="singleLevel"/>
    <w:tmpl w:val="D44CBC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EB3D2890"/>
    <w:multiLevelType w:val="singleLevel"/>
    <w:tmpl w:val="EB3D28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31EAFCE"/>
    <w:multiLevelType w:val="singleLevel"/>
    <w:tmpl w:val="F31EAF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2C44ABF2"/>
    <w:multiLevelType w:val="singleLevel"/>
    <w:tmpl w:val="2C44AB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7394CB1"/>
    <w:multiLevelType w:val="singleLevel"/>
    <w:tmpl w:val="37394C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3">
    <w:nsid w:val="3EB3C478"/>
    <w:multiLevelType w:val="singleLevel"/>
    <w:tmpl w:val="3EB3C4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D7AF893"/>
    <w:multiLevelType w:val="singleLevel"/>
    <w:tmpl w:val="5D7AF8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6434233F"/>
    <w:multiLevelType w:val="singleLevel"/>
    <w:tmpl w:val="643423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4A56D5E"/>
    <w:multiLevelType w:val="singleLevel"/>
    <w:tmpl w:val="74A56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7AD3F0D7"/>
    <w:multiLevelType w:val="singleLevel"/>
    <w:tmpl w:val="7AD3F0D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8"/>
  </w:num>
  <w:num w:numId="10">
    <w:abstractNumId w:val="10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4E1636"/>
    <w:rsid w:val="01FD48EF"/>
    <w:rsid w:val="02233B79"/>
    <w:rsid w:val="023E4202"/>
    <w:rsid w:val="02976C60"/>
    <w:rsid w:val="02C23CA8"/>
    <w:rsid w:val="030A11A1"/>
    <w:rsid w:val="03503CDA"/>
    <w:rsid w:val="03973530"/>
    <w:rsid w:val="03CD4626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B502C2"/>
    <w:rsid w:val="09EA4EB7"/>
    <w:rsid w:val="0AA77F52"/>
    <w:rsid w:val="0BB330F3"/>
    <w:rsid w:val="0BBA4E9D"/>
    <w:rsid w:val="0BCE00C8"/>
    <w:rsid w:val="0BD92C89"/>
    <w:rsid w:val="0C566035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EC2BB1"/>
    <w:rsid w:val="15103AD3"/>
    <w:rsid w:val="157C3E5D"/>
    <w:rsid w:val="15B10763"/>
    <w:rsid w:val="15B7367B"/>
    <w:rsid w:val="15D53C53"/>
    <w:rsid w:val="160F1903"/>
    <w:rsid w:val="163E7F4F"/>
    <w:rsid w:val="173C68B4"/>
    <w:rsid w:val="183E546B"/>
    <w:rsid w:val="18682672"/>
    <w:rsid w:val="18C7041B"/>
    <w:rsid w:val="191410D1"/>
    <w:rsid w:val="194D3A06"/>
    <w:rsid w:val="19775620"/>
    <w:rsid w:val="19DD2670"/>
    <w:rsid w:val="1A8540F0"/>
    <w:rsid w:val="1AF91A11"/>
    <w:rsid w:val="1B312A0C"/>
    <w:rsid w:val="1B39025D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326A28"/>
    <w:rsid w:val="34BE1F89"/>
    <w:rsid w:val="351A5130"/>
    <w:rsid w:val="3554505E"/>
    <w:rsid w:val="360556FB"/>
    <w:rsid w:val="36307C8E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73783C"/>
    <w:rsid w:val="3B532497"/>
    <w:rsid w:val="3B69584B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3D54DC2"/>
    <w:rsid w:val="44EB4048"/>
    <w:rsid w:val="45BE295B"/>
    <w:rsid w:val="465623E3"/>
    <w:rsid w:val="46A56284"/>
    <w:rsid w:val="46FF3B20"/>
    <w:rsid w:val="472D266E"/>
    <w:rsid w:val="476668EB"/>
    <w:rsid w:val="47EA4DF1"/>
    <w:rsid w:val="48141E0C"/>
    <w:rsid w:val="48300B3D"/>
    <w:rsid w:val="484A701B"/>
    <w:rsid w:val="48687DA4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844457"/>
    <w:rsid w:val="4E0D7F90"/>
    <w:rsid w:val="4E62395A"/>
    <w:rsid w:val="4EF905EE"/>
    <w:rsid w:val="4F827BB5"/>
    <w:rsid w:val="50201DCD"/>
    <w:rsid w:val="51A758CA"/>
    <w:rsid w:val="51B85C55"/>
    <w:rsid w:val="51DF34BB"/>
    <w:rsid w:val="522E06D1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68C7E6C"/>
    <w:rsid w:val="577047CD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A690641"/>
    <w:rsid w:val="5BFC0B78"/>
    <w:rsid w:val="5C0A7929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126746E"/>
    <w:rsid w:val="618D4BE8"/>
    <w:rsid w:val="6232481E"/>
    <w:rsid w:val="62A616C7"/>
    <w:rsid w:val="63447353"/>
    <w:rsid w:val="63524B1A"/>
    <w:rsid w:val="6356780F"/>
    <w:rsid w:val="63AF436A"/>
    <w:rsid w:val="63CE41AA"/>
    <w:rsid w:val="64F11308"/>
    <w:rsid w:val="65365220"/>
    <w:rsid w:val="654B1D62"/>
    <w:rsid w:val="6564616A"/>
    <w:rsid w:val="659455D4"/>
    <w:rsid w:val="65E655AE"/>
    <w:rsid w:val="66426F4E"/>
    <w:rsid w:val="669067B2"/>
    <w:rsid w:val="67891D66"/>
    <w:rsid w:val="67BE5491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823A77"/>
    <w:rsid w:val="6AF32913"/>
    <w:rsid w:val="6AF712B0"/>
    <w:rsid w:val="6B255F9C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B4ADC"/>
    <w:rsid w:val="74DE1AB1"/>
    <w:rsid w:val="756F7A8C"/>
    <w:rsid w:val="76B47E49"/>
    <w:rsid w:val="773B0088"/>
    <w:rsid w:val="773B0ED5"/>
    <w:rsid w:val="77D15D54"/>
    <w:rsid w:val="77E26D16"/>
    <w:rsid w:val="77EF597E"/>
    <w:rsid w:val="77FD0F35"/>
    <w:rsid w:val="78752B86"/>
    <w:rsid w:val="78CF032E"/>
    <w:rsid w:val="790911C0"/>
    <w:rsid w:val="79663985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E3A61EF"/>
    <w:rsid w:val="7E5F430E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2021-08-30T07:00:01Z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D5B613ED11914CFCB39CBB035B9F1E6E</vt:lpwstr>
  </property>
</Properties>
</file>