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金字塔原理：逻辑思维与有效呈现</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微软雅黑" w:hAnsi="微软雅黑" w:eastAsia="微软雅黑" w:cs="微软雅黑"/>
          <w:b w:val="0"/>
          <w:bCs/>
          <w:color w:val="000000"/>
          <w:sz w:val="21"/>
          <w:szCs w:val="21"/>
          <w:lang w:eastAsia="zh-CN"/>
        </w:rPr>
      </w:pPr>
      <w:r>
        <w:rPr>
          <w:rFonts w:hint="eastAsia" w:ascii="微软雅黑" w:hAnsi="微软雅黑" w:eastAsia="微软雅黑" w:cs="微软雅黑"/>
          <w:b w:val="0"/>
          <w:bCs/>
          <w:color w:val="000000"/>
          <w:sz w:val="21"/>
          <w:szCs w:val="21"/>
        </w:rPr>
        <w:t>20</w:t>
      </w:r>
      <w:r>
        <w:rPr>
          <w:rFonts w:hint="eastAsia" w:ascii="微软雅黑" w:hAnsi="微软雅黑" w:eastAsia="微软雅黑" w:cs="微软雅黑"/>
          <w:b w:val="0"/>
          <w:bCs/>
          <w:color w:val="000000"/>
          <w:sz w:val="21"/>
          <w:szCs w:val="21"/>
          <w:lang w:val="en-US" w:eastAsia="zh-CN"/>
        </w:rPr>
        <w:t>22</w:t>
      </w:r>
      <w:r>
        <w:rPr>
          <w:rFonts w:hint="eastAsia" w:ascii="微软雅黑" w:hAnsi="微软雅黑" w:eastAsia="微软雅黑" w:cs="微软雅黑"/>
          <w:b w:val="0"/>
          <w:bCs/>
          <w:color w:val="000000"/>
          <w:sz w:val="21"/>
          <w:szCs w:val="21"/>
        </w:rPr>
        <w:t>年</w:t>
      </w:r>
      <w:r>
        <w:rPr>
          <w:rFonts w:hint="eastAsia" w:ascii="微软雅黑" w:hAnsi="微软雅黑" w:eastAsia="微软雅黑" w:cs="微软雅黑"/>
          <w:b w:val="0"/>
          <w:bCs/>
          <w:color w:val="000000"/>
          <w:sz w:val="21"/>
          <w:szCs w:val="21"/>
          <w:lang w:val="en-US" w:eastAsia="zh-CN"/>
        </w:rPr>
        <w:t>04</w:t>
      </w:r>
      <w:r>
        <w:rPr>
          <w:rFonts w:hint="eastAsia" w:ascii="微软雅黑" w:hAnsi="微软雅黑" w:eastAsia="微软雅黑" w:cs="微软雅黑"/>
          <w:b w:val="0"/>
          <w:bCs/>
          <w:color w:val="000000"/>
          <w:sz w:val="21"/>
          <w:szCs w:val="21"/>
        </w:rPr>
        <w:t>月</w:t>
      </w:r>
      <w:r>
        <w:rPr>
          <w:rFonts w:hint="eastAsia" w:ascii="微软雅黑" w:hAnsi="微软雅黑" w:eastAsia="微软雅黑" w:cs="微软雅黑"/>
          <w:b w:val="0"/>
          <w:bCs/>
          <w:color w:val="000000"/>
          <w:sz w:val="21"/>
          <w:szCs w:val="21"/>
          <w:lang w:val="en-US" w:eastAsia="zh-CN"/>
        </w:rPr>
        <w:t>26</w:t>
      </w:r>
      <w:r>
        <w:rPr>
          <w:rFonts w:hint="eastAsia" w:ascii="微软雅黑" w:hAnsi="微软雅黑" w:eastAsia="微软雅黑" w:cs="微软雅黑"/>
          <w:b w:val="0"/>
          <w:bCs/>
          <w:color w:val="000000"/>
          <w:sz w:val="21"/>
          <w:szCs w:val="21"/>
        </w:rPr>
        <w:t>~</w:t>
      </w:r>
      <w:r>
        <w:rPr>
          <w:rFonts w:hint="eastAsia" w:ascii="微软雅黑" w:hAnsi="微软雅黑" w:eastAsia="微软雅黑" w:cs="微软雅黑"/>
          <w:b w:val="0"/>
          <w:bCs/>
          <w:color w:val="000000"/>
          <w:sz w:val="21"/>
          <w:szCs w:val="21"/>
          <w:lang w:val="en-US" w:eastAsia="zh-CN"/>
        </w:rPr>
        <w:t>27</w:t>
      </w:r>
      <w:r>
        <w:rPr>
          <w:rFonts w:hint="eastAsia" w:ascii="微软雅黑" w:hAnsi="微软雅黑" w:eastAsia="微软雅黑" w:cs="微软雅黑"/>
          <w:b w:val="0"/>
          <w:bCs/>
          <w:color w:val="000000"/>
          <w:sz w:val="21"/>
          <w:szCs w:val="21"/>
        </w:rPr>
        <w:t>日</w:t>
      </w:r>
      <w:r>
        <w:rPr>
          <w:rFonts w:hint="eastAsia" w:ascii="微软雅黑" w:hAnsi="微软雅黑" w:eastAsia="微软雅黑" w:cs="微软雅黑"/>
          <w:b w:val="0"/>
          <w:bCs/>
          <w:color w:val="000000"/>
          <w:sz w:val="21"/>
          <w:szCs w:val="21"/>
          <w:lang w:eastAsia="zh-CN"/>
        </w:rPr>
        <w:t>苏州</w:t>
      </w:r>
      <w:r>
        <w:rPr>
          <w:rFonts w:hint="eastAsia" w:ascii="微软雅黑" w:hAnsi="微软雅黑" w:eastAsia="微软雅黑" w:cs="微软雅黑"/>
          <w:b w:val="0"/>
          <w:bCs/>
          <w:color w:val="000000"/>
          <w:sz w:val="21"/>
          <w:szCs w:val="21"/>
          <w:lang w:val="en-US" w:eastAsia="zh-CN"/>
        </w:rPr>
        <w:t xml:space="preserve">      </w:t>
      </w:r>
      <w:r>
        <w:rPr>
          <w:rFonts w:hint="eastAsia" w:ascii="微软雅黑" w:hAnsi="微软雅黑" w:eastAsia="微软雅黑" w:cs="微软雅黑"/>
          <w:b w:val="0"/>
          <w:bCs/>
          <w:color w:val="000000"/>
          <w:sz w:val="21"/>
          <w:szCs w:val="21"/>
        </w:rPr>
        <w:t>20</w:t>
      </w:r>
      <w:r>
        <w:rPr>
          <w:rFonts w:hint="eastAsia" w:ascii="微软雅黑" w:hAnsi="微软雅黑" w:eastAsia="微软雅黑" w:cs="微软雅黑"/>
          <w:b w:val="0"/>
          <w:bCs/>
          <w:color w:val="000000"/>
          <w:sz w:val="21"/>
          <w:szCs w:val="21"/>
          <w:lang w:val="en-US" w:eastAsia="zh-CN"/>
        </w:rPr>
        <w:t>22</w:t>
      </w:r>
      <w:r>
        <w:rPr>
          <w:rFonts w:hint="eastAsia" w:ascii="微软雅黑" w:hAnsi="微软雅黑" w:eastAsia="微软雅黑" w:cs="微软雅黑"/>
          <w:b w:val="0"/>
          <w:bCs/>
          <w:color w:val="000000"/>
          <w:sz w:val="21"/>
          <w:szCs w:val="21"/>
        </w:rPr>
        <w:t>年</w:t>
      </w:r>
      <w:r>
        <w:rPr>
          <w:rFonts w:hint="eastAsia" w:ascii="微软雅黑" w:hAnsi="微软雅黑" w:eastAsia="微软雅黑" w:cs="微软雅黑"/>
          <w:b w:val="0"/>
          <w:bCs/>
          <w:color w:val="000000"/>
          <w:sz w:val="21"/>
          <w:szCs w:val="21"/>
          <w:lang w:val="en-US" w:eastAsia="zh-CN"/>
        </w:rPr>
        <w:t>10月19-20日上海</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微软雅黑" w:hAnsi="微软雅黑" w:eastAsia="微软雅黑" w:cs="微软雅黑"/>
          <w:b w:val="0"/>
          <w:bCs/>
          <w:color w:val="000000"/>
          <w:sz w:val="21"/>
          <w:szCs w:val="21"/>
        </w:rPr>
      </w:pPr>
      <w:r>
        <w:rPr>
          <w:rFonts w:hint="eastAsia" w:ascii="微软雅黑" w:hAnsi="微软雅黑" w:eastAsia="微软雅黑" w:cs="微软雅黑"/>
          <w:b w:val="0"/>
          <w:bCs/>
          <w:color w:val="000000"/>
          <w:sz w:val="21"/>
          <w:szCs w:val="21"/>
        </w:rPr>
        <w:t>￥4</w:t>
      </w:r>
      <w:r>
        <w:rPr>
          <w:rFonts w:hint="eastAsia" w:ascii="微软雅黑" w:hAnsi="微软雅黑" w:eastAsia="微软雅黑" w:cs="微软雅黑"/>
          <w:b w:val="0"/>
          <w:bCs/>
          <w:color w:val="000000"/>
          <w:sz w:val="21"/>
          <w:szCs w:val="21"/>
          <w:lang w:val="en-US" w:eastAsia="zh-CN"/>
        </w:rPr>
        <w:t>,</w:t>
      </w:r>
      <w:r>
        <w:rPr>
          <w:rFonts w:hint="eastAsia" w:ascii="微软雅黑" w:hAnsi="微软雅黑" w:eastAsia="微软雅黑" w:cs="微软雅黑"/>
          <w:b w:val="0"/>
          <w:bCs/>
          <w:color w:val="000000"/>
          <w:sz w:val="21"/>
          <w:szCs w:val="21"/>
        </w:rPr>
        <w:t>200/人（含授课费、证书费、资料费、午餐费、茶点费、会务费、税费）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微软雅黑" w:hAnsi="微软雅黑" w:eastAsia="微软雅黑" w:cs="微软雅黑"/>
          <w:i w:val="0"/>
          <w:iCs w:val="0"/>
          <w:color w:val="2F5597" w:themeColor="accent5" w:themeShade="BF"/>
          <w:sz w:val="21"/>
          <w:szCs w:val="21"/>
          <w:u w:val="none"/>
        </w:rPr>
      </w:pPr>
      <w:r>
        <w:rPr>
          <w:rFonts w:hint="eastAsia" w:ascii="微软雅黑" w:hAnsi="微软雅黑" w:eastAsia="微软雅黑" w:cs="微软雅黑"/>
          <w:i w:val="0"/>
          <w:iCs w:val="0"/>
          <w:color w:val="2F5597" w:themeColor="accent5" w:themeShade="BF"/>
          <w:sz w:val="21"/>
          <w:szCs w:val="21"/>
          <w:u w:val="none"/>
        </w:rPr>
        <w:t>你常常用邮件、微信沟通工作吗？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olor w:val="2F5597" w:themeColor="accent5" w:themeShade="BF"/>
          <w:sz w:val="21"/>
          <w:szCs w:val="21"/>
          <w:u w:val="none"/>
        </w:rPr>
      </w:pPr>
      <w:r>
        <w:rPr>
          <w:rFonts w:hint="eastAsia" w:ascii="微软雅黑" w:hAnsi="微软雅黑" w:eastAsia="微软雅黑" w:cs="微软雅黑"/>
          <w:i w:val="0"/>
          <w:iCs w:val="0"/>
          <w:color w:val="2F5597" w:themeColor="accent5" w:themeShade="BF"/>
          <w:sz w:val="21"/>
          <w:szCs w:val="21"/>
          <w:u w:val="none"/>
        </w:rPr>
        <w:t>你需要经常在客户和老板面前呈现观点吗？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olor w:val="2F5597" w:themeColor="accent5" w:themeShade="BF"/>
          <w:sz w:val="21"/>
          <w:szCs w:val="21"/>
          <w:u w:val="none"/>
        </w:rPr>
      </w:pPr>
      <w:r>
        <w:rPr>
          <w:rFonts w:hint="eastAsia" w:ascii="微软雅黑" w:hAnsi="微软雅黑" w:eastAsia="微软雅黑" w:cs="微软雅黑"/>
          <w:i w:val="0"/>
          <w:iCs w:val="0"/>
          <w:color w:val="2F5597" w:themeColor="accent5" w:themeShade="BF"/>
          <w:sz w:val="21"/>
          <w:szCs w:val="21"/>
          <w:u w:val="none"/>
        </w:rPr>
        <w:t>你的呈现风格能够让客户认可、团队信服、老板满意吗？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olor w:val="2F5597" w:themeColor="accent5" w:themeShade="BF"/>
          <w:sz w:val="22"/>
          <w:u w:val="none"/>
        </w:rPr>
      </w:pPr>
      <w:r>
        <w:rPr>
          <w:rFonts w:hint="eastAsia" w:ascii="微软雅黑" w:hAnsi="微软雅黑" w:eastAsia="微软雅黑" w:cs="微软雅黑"/>
          <w:i w:val="0"/>
          <w:iCs w:val="0"/>
          <w:color w:val="2F5597" w:themeColor="accent5" w:themeShade="BF"/>
          <w:sz w:val="21"/>
          <w:szCs w:val="21"/>
          <w:u w:val="none"/>
        </w:rPr>
        <w:t>你的表述经常让别人支持你，还是反驳你？让别人听明白，还是一头雾水？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sz w:val="21"/>
          <w:szCs w:val="21"/>
          <w:u w:val="none"/>
        </w:rPr>
      </w:pPr>
      <w:r>
        <w:rPr>
          <w:rFonts w:hint="eastAsia" w:ascii="微软雅黑" w:hAnsi="微软雅黑" w:eastAsia="微软雅黑" w:cs="微软雅黑"/>
          <w:i w:val="0"/>
          <w:iCs w:val="0"/>
          <w:sz w:val="21"/>
          <w:szCs w:val="21"/>
          <w:u w:val="none"/>
        </w:rPr>
        <w:t>职场表达（包括邮件、微信、PPT、演讲和面对面呈现）是商业世界里最重要也是最高层次的技能体现方式。然而，对于很多职场精英来说，最大的挑战就是如何做一场优秀的表述和呈现，我们的问题主要表现在：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微软雅黑" w:hAnsi="微软雅黑" w:eastAsia="微软雅黑" w:cs="微软雅黑"/>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i w:val="0"/>
          <w:iCs w:val="0"/>
          <w:sz w:val="21"/>
          <w:szCs w:val="21"/>
          <w:u w:val="none"/>
        </w:rPr>
        <w:t>一缺逻辑性</w:t>
      </w:r>
      <w:r>
        <w:rPr>
          <w:rFonts w:hint="eastAsia" w:ascii="微软雅黑" w:hAnsi="微软雅黑" w:eastAsia="微软雅黑" w:cs="微软雅黑"/>
          <w:i w:val="0"/>
          <w:iCs w:val="0"/>
          <w:sz w:val="21"/>
          <w:szCs w:val="21"/>
          <w:u w:val="none"/>
        </w:rPr>
        <w:t>——表达没有重点，缺乏目的性，观点不明确，条理性较差，不擅长总结和提炼核心关键词，过分娓娓道来却不知所云，让人听不懂记不住。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微软雅黑" w:hAnsi="微软雅黑" w:eastAsia="微软雅黑" w:cs="微软雅黑"/>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i w:val="0"/>
          <w:iCs w:val="0"/>
          <w:sz w:val="21"/>
          <w:szCs w:val="21"/>
          <w:u w:val="none"/>
        </w:rPr>
        <w:t>二缺表现力</w:t>
      </w:r>
      <w:r>
        <w:rPr>
          <w:rFonts w:hint="eastAsia" w:ascii="微软雅黑" w:hAnsi="微软雅黑" w:eastAsia="微软雅黑" w:cs="微软雅黑"/>
          <w:i w:val="0"/>
          <w:iCs w:val="0"/>
          <w:sz w:val="21"/>
          <w:szCs w:val="21"/>
          <w:u w:val="none"/>
        </w:rPr>
        <w:t>——表达时候过度依赖PPT，始终看着投影诵读，缺乏和听众的目光接触，肢体语言僵硬，面无表情，声音没有抑扬顿挫，像催眠曲，气场微弱，说话毫无精神气，缺乏能量场。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微软雅黑" w:hAnsi="微软雅黑" w:eastAsia="微软雅黑" w:cs="微软雅黑"/>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i w:val="0"/>
          <w:iCs w:val="0"/>
          <w:sz w:val="21"/>
          <w:szCs w:val="21"/>
          <w:u w:val="none"/>
        </w:rPr>
        <w:t>三缺吸引力</w:t>
      </w:r>
      <w:r>
        <w:rPr>
          <w:rFonts w:hint="eastAsia" w:ascii="微软雅黑" w:hAnsi="微软雅黑" w:eastAsia="微软雅黑" w:cs="微软雅黑"/>
          <w:i w:val="0"/>
          <w:iCs w:val="0"/>
          <w:sz w:val="21"/>
          <w:szCs w:val="21"/>
          <w:u w:val="none"/>
        </w:rPr>
        <w:t>——只说自己想说的，不说别人想听的。喜欢罗列大量的细节、过程、表格数据，听众无法与之产生共鸣，偏离了沟通的基本原则。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sz w:val="21"/>
          <w:szCs w:val="21"/>
          <w:u w:val="none"/>
        </w:rPr>
      </w:pPr>
      <w:r>
        <w:rPr>
          <w:rFonts w:hint="eastAsia" w:ascii="微软雅黑" w:hAnsi="微软雅黑" w:eastAsia="微软雅黑" w:cs="微软雅黑"/>
          <w:i w:val="0"/>
          <w:iCs w:val="0"/>
          <w:sz w:val="21"/>
          <w:szCs w:val="21"/>
          <w:u w:val="none"/>
        </w:rPr>
        <w:t>这些都是沟通的思维习惯问题，而几乎所有思路上的偏差或缺失都是影响一件事成功与否的首要因素。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sz w:val="21"/>
          <w:szCs w:val="21"/>
          <w:u w:val="none"/>
          <w:lang w:val="en-AU"/>
        </w:rPr>
      </w:pPr>
      <w:r>
        <w:rPr>
          <w:rFonts w:hint="eastAsia" w:ascii="微软雅黑" w:hAnsi="微软雅黑" w:eastAsia="微软雅黑" w:cs="微软雅黑"/>
          <w:i w:val="0"/>
          <w:iCs w:val="0"/>
          <w:sz w:val="21"/>
          <w:szCs w:val="21"/>
          <w:u w:val="none"/>
        </w:rPr>
        <w:t>本课程将帮助学员掌握有条理的、清晰有序的、有效表达的思维逻辑，并提炼出让呈现更有效的演讲要素，使之</w:t>
      </w:r>
      <w:r>
        <w:rPr>
          <w:rFonts w:hint="eastAsia" w:ascii="微软雅黑" w:hAnsi="微软雅黑" w:eastAsia="微软雅黑" w:cs="微软雅黑"/>
          <w:i w:val="0"/>
          <w:iCs w:val="0"/>
          <w:sz w:val="21"/>
          <w:szCs w:val="21"/>
          <w:u w:val="none"/>
          <w:lang w:val="en-AU"/>
        </w:rPr>
        <w:t>在商务场合的推介能条理清晰，成熟稳重，充满气场，有说服力，实现最终的商业目标。</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课程产出</w:t>
      </w:r>
    </w:p>
    <w:p>
      <w:pPr>
        <w:pStyle w:val="1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树立逆向思维的沟通原则，根据受众确定如何商务陈述</w:t>
      </w:r>
    </w:p>
    <w:p>
      <w:pPr>
        <w:pStyle w:val="1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根据金字塔原理，掌握商务陈述最重要的三个要素：对象、目的、框架</w:t>
      </w:r>
    </w:p>
    <w:p>
      <w:pPr>
        <w:pStyle w:val="1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联系职场情境，充分演练商务陈述的几个场景</w:t>
      </w:r>
    </w:p>
    <w:p>
      <w:pPr>
        <w:pStyle w:val="1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根据具体情境，掌握现场陈述的技巧</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授课方式</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szCs w:val="21"/>
          <w:u w:val="none"/>
        </w:rPr>
        <w:t>互动式讲授</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szCs w:val="21"/>
          <w:u w:val="none"/>
        </w:rPr>
        <w:t>案例分析</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szCs w:val="21"/>
          <w:u w:val="none"/>
        </w:rPr>
        <w:t>小组讨论</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szCs w:val="21"/>
          <w:u w:val="none"/>
        </w:rPr>
        <w:t>角色扮演</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i w:val="0"/>
          <w:iCs w:val="0"/>
          <w:szCs w:val="21"/>
          <w:u w:val="none"/>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szCs w:val="21"/>
          <w:u w:val="none"/>
        </w:rPr>
        <w:t>游戏</w:t>
      </w:r>
    </w:p>
    <w:p>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微软雅黑" w:hAnsi="微软雅黑" w:eastAsia="微软雅黑" w:cs="微软雅黑"/>
          <w:b/>
          <w:bCs/>
          <w:sz w:val="21"/>
          <w:szCs w:val="21"/>
        </w:rPr>
      </w:pPr>
      <w:r>
        <w:rPr>
          <w:rFonts w:hint="default" w:ascii="微软雅黑" w:hAnsi="微软雅黑" w:eastAsia="微软雅黑" w:cs="微软雅黑"/>
          <w:b/>
          <w:bCs/>
          <w:sz w:val="24"/>
          <w:szCs w:val="24"/>
          <w:lang w:val="en-US"/>
        </w:rPr>
        <w:drawing>
          <wp:anchor distT="0" distB="0" distL="114300" distR="114300" simplePos="0" relativeHeight="251666432" behindDoc="0" locked="0" layoutInCell="1" allowOverlap="1">
            <wp:simplePos x="0" y="0"/>
            <wp:positionH relativeFrom="column">
              <wp:posOffset>-12700</wp:posOffset>
            </wp:positionH>
            <wp:positionV relativeFrom="paragraph">
              <wp:posOffset>32385</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第一部分： 认知沟通</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95" w:beforeLines="30" w:line="400" w:lineRule="exact"/>
        <w:ind w:left="0" w:leftChars="0"/>
        <w:textAlignment w:val="auto"/>
        <w:rPr>
          <w:rFonts w:hint="eastAsia" w:ascii="微软雅黑" w:hAnsi="微软雅黑" w:eastAsia="微软雅黑" w:cs="微软雅黑"/>
          <w:b/>
          <w:bCs/>
          <w:i w:val="0"/>
          <w:iCs w:val="0"/>
          <w:color w:val="2F5597" w:themeColor="accent5" w:themeShade="BF"/>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一、 </w:t>
      </w:r>
      <w:r>
        <w:rPr>
          <w:b/>
          <w:bCs/>
          <w:color w:val="2F5597" w:themeColor="accent5" w:themeShade="BF"/>
          <w:sz w:val="21"/>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3810</wp:posOffset>
                </wp:positionV>
                <wp:extent cx="6229350" cy="0"/>
                <wp:effectExtent l="0" t="6350" r="6350" b="6350"/>
                <wp:wrapNone/>
                <wp:docPr id="1" name="直接连接符 1"/>
                <wp:cNvGraphicFramePr/>
                <a:graphic xmlns:a="http://schemas.openxmlformats.org/drawingml/2006/main">
                  <a:graphicData uri="http://schemas.microsoft.com/office/word/2010/wordprocessingShape">
                    <wps:wsp>
                      <wps:cNvCnPr/>
                      <wps:spPr>
                        <a:xfrm>
                          <a:off x="675005" y="7101205"/>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3pt;height:0pt;width:490.5pt;z-index:251667456;mso-width-relative:page;mso-height-relative:page;" filled="f" stroked="t" coordsize="21600,21600" o:gfxdata="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1eqUfUAAAABAEA&#10;AA8AAAAAAAAAAQAgAAAAIgAAAGRycy9kb3ducmV2LnhtbFBLAQIUABQAAAAIAIdO4kA1smYwkAIA&#10;ANQFAAAOAAAAAAAAAAEAIAAAACMBAABkcnMvZTJvRG9jLnhtbFBLBQYAAAAABgAGAFkBAAAlBgAA&#10;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bCs/>
          <w:i w:val="0"/>
          <w:iCs w:val="0"/>
          <w:color w:val="2F5597" w:themeColor="accent5" w:themeShade="BF"/>
          <w:u w:val="none"/>
        </w:rPr>
        <w:t>前提：我为什么要学习表达？</w:t>
      </w:r>
    </w:p>
    <w:p>
      <w:pPr>
        <w:pStyle w:val="15"/>
        <w:keepNext w:val="0"/>
        <w:keepLines w:val="0"/>
        <w:pageBreakBefore w:val="0"/>
        <w:numPr>
          <w:ilvl w:val="0"/>
          <w:numId w:val="1"/>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职场需要：会做又会说</w:t>
      </w:r>
    </w:p>
    <w:p>
      <w:pPr>
        <w:pStyle w:val="15"/>
        <w:keepNext w:val="0"/>
        <w:keepLines w:val="0"/>
        <w:pageBreakBefore w:val="0"/>
        <w:numPr>
          <w:ilvl w:val="0"/>
          <w:numId w:val="1"/>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学员一分钟演讲（拍摄）：介绍一下你的公司</w:t>
      </w:r>
    </w:p>
    <w:p>
      <w:pPr>
        <w:pStyle w:val="15"/>
        <w:keepNext w:val="0"/>
        <w:keepLines w:val="0"/>
        <w:pageBreakBefore w:val="0"/>
        <w:numPr>
          <w:ilvl w:val="0"/>
          <w:numId w:val="1"/>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沟通不简单：</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沟通的要素</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不同“讲法”的对比</w:t>
      </w:r>
    </w:p>
    <w:p>
      <w:pPr>
        <w:pStyle w:val="15"/>
        <w:keepNext w:val="0"/>
        <w:keepLines w:val="0"/>
        <w:pageBreakBefore w:val="0"/>
        <w:numPr>
          <w:ilvl w:val="0"/>
          <w:numId w:val="1"/>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逆向思维指导下的沟通：受对象和情景的双重影响</w:t>
      </w:r>
    </w:p>
    <w:p>
      <w:pPr>
        <w:pStyle w:val="15"/>
        <w:keepNext w:val="0"/>
        <w:keepLines w:val="0"/>
        <w:pageBreakBefore w:val="0"/>
        <w:numPr>
          <w:ilvl w:val="0"/>
          <w:numId w:val="0"/>
        </w:numPr>
        <w:kinsoku/>
        <w:wordWrap/>
        <w:overflowPunct/>
        <w:topLinePunct w:val="0"/>
        <w:bidi w:val="0"/>
        <w:spacing w:line="400" w:lineRule="exact"/>
        <w:ind w:left="0"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对象：职场沟通的五类对象及其应对</w:t>
      </w:r>
    </w:p>
    <w:p>
      <w:pPr>
        <w:pStyle w:val="15"/>
        <w:keepNext w:val="0"/>
        <w:keepLines w:val="0"/>
        <w:pageBreakBefore w:val="0"/>
        <w:numPr>
          <w:ilvl w:val="0"/>
          <w:numId w:val="0"/>
        </w:numPr>
        <w:kinsoku/>
        <w:wordWrap/>
        <w:overflowPunct/>
        <w:topLinePunct w:val="0"/>
        <w:bidi w:val="0"/>
        <w:spacing w:line="400" w:lineRule="exact"/>
        <w:ind w:left="0"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情境：职场沟通的五种途径</w:t>
      </w:r>
    </w:p>
    <w:p>
      <w:pPr>
        <w:pStyle w:val="15"/>
        <w:keepNext w:val="0"/>
        <w:keepLines w:val="0"/>
        <w:pageBreakBefore w:val="0"/>
        <w:numPr>
          <w:ilvl w:val="0"/>
          <w:numId w:val="1"/>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沟通的最大障碍：紧张</w:t>
      </w:r>
    </w:p>
    <w:p>
      <w:pPr>
        <w:pStyle w:val="15"/>
        <w:keepNext w:val="0"/>
        <w:keepLines w:val="0"/>
        <w:pageBreakBefore w:val="0"/>
        <w:numPr>
          <w:ilvl w:val="0"/>
          <w:numId w:val="0"/>
        </w:numPr>
        <w:kinsoku/>
        <w:wordWrap/>
        <w:overflowPunct/>
        <w:topLinePunct w:val="0"/>
        <w:bidi w:val="0"/>
        <w:spacing w:line="400" w:lineRule="exact"/>
        <w:ind w:left="0"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紧张的原因分析</w:t>
      </w:r>
    </w:p>
    <w:p>
      <w:pPr>
        <w:pStyle w:val="15"/>
        <w:keepNext w:val="0"/>
        <w:keepLines w:val="0"/>
        <w:pageBreakBefore w:val="0"/>
        <w:numPr>
          <w:ilvl w:val="0"/>
          <w:numId w:val="0"/>
        </w:numPr>
        <w:kinsoku/>
        <w:wordWrap/>
        <w:overflowPunct/>
        <w:topLinePunct w:val="0"/>
        <w:bidi w:val="0"/>
        <w:spacing w:line="400" w:lineRule="exact"/>
        <w:ind w:left="0"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紧张的六大应对法则</w:t>
      </w:r>
    </w:p>
    <w:p>
      <w:pPr>
        <w:pStyle w:val="15"/>
        <w:keepNext w:val="0"/>
        <w:keepLines w:val="0"/>
        <w:pageBreakBefore w:val="0"/>
        <w:numPr>
          <w:ilvl w:val="0"/>
          <w:numId w:val="1"/>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卓越表达：专业知识，呈现技巧，内容设计，互动控场，自信魅力</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微软雅黑" w:hAnsi="微软雅黑" w:eastAsia="微软雅黑" w:cs="微软雅黑"/>
          <w:b/>
          <w:bCs/>
          <w:sz w:val="21"/>
          <w:szCs w:val="21"/>
        </w:rPr>
      </w:pPr>
      <w:r>
        <w:rPr>
          <w:rFonts w:hint="default" w:ascii="微软雅黑" w:hAnsi="微软雅黑" w:eastAsia="微软雅黑" w:cs="微软雅黑"/>
          <w:b/>
          <w:bCs/>
          <w:sz w:val="24"/>
          <w:szCs w:val="24"/>
          <w:lang w:val="en-US"/>
        </w:rPr>
        <w:drawing>
          <wp:anchor distT="0" distB="0" distL="114300" distR="114300" simplePos="0" relativeHeight="251669504" behindDoc="0" locked="0" layoutInCell="1" allowOverlap="1">
            <wp:simplePos x="0" y="0"/>
            <wp:positionH relativeFrom="column">
              <wp:posOffset>-12700</wp:posOffset>
            </wp:positionH>
            <wp:positionV relativeFrom="paragraph">
              <wp:posOffset>127635</wp:posOffset>
            </wp:positionV>
            <wp:extent cx="298450" cy="301625"/>
            <wp:effectExtent l="0" t="0" r="6350" b="3175"/>
            <wp:wrapSquare wrapText="bothSides"/>
            <wp:docPr id="5" name="图片 5"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第二部分：有效表达</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95" w:beforeLines="30" w:line="400" w:lineRule="exact"/>
        <w:ind w:left="0"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一、</w:t>
      </w:r>
      <w:r>
        <w:rPr>
          <w:rFonts w:hint="eastAsia" w:ascii="微软雅黑" w:hAnsi="微软雅黑" w:eastAsia="微软雅黑" w:cs="微软雅黑"/>
          <w:b/>
          <w:bCs/>
          <w:i w:val="0"/>
          <w:iCs w:val="0"/>
          <w:color w:val="2F5597" w:themeColor="accent5" w:themeShade="BF"/>
          <w:u w:val="none"/>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3810</wp:posOffset>
                </wp:positionV>
                <wp:extent cx="6229350" cy="0"/>
                <wp:effectExtent l="0" t="0" r="0" b="0"/>
                <wp:wrapNone/>
                <wp:docPr id="6" name="直接连接符 6"/>
                <wp:cNvGraphicFramePr/>
                <a:graphic xmlns:a="http://schemas.openxmlformats.org/drawingml/2006/main">
                  <a:graphicData uri="http://schemas.microsoft.com/office/word/2010/wordprocessingShape">
                    <wps:wsp>
                      <wps:cNvCnPr/>
                      <wps:spPr>
                        <a:xfrm>
                          <a:off x="675005" y="7101205"/>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3pt;height:0pt;width:490.5pt;z-index:251670528;mso-width-relative:page;mso-height-relative:page;" filled="f" stroked="t" coordsize="21600,21600" o:gfxdata="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1eqUfUAAAABAEA&#10;AA8AAAAAAAAAAQAgAAAAIgAAAGRycy9kb3ducmV2LnhtbFBLAQIUABQAAAAIAIdO4kDuJRNVkAIA&#10;ANQFAAAOAAAAAAAAAAEAIAAAACMBAABkcnMvZTJvRG9jLnhtbFBLBQYAAAAABgAGAFkBAAAlBgAA&#10;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bCs/>
          <w:i w:val="0"/>
          <w:iCs w:val="0"/>
          <w:color w:val="2F5597" w:themeColor="accent5" w:themeShade="BF"/>
          <w:u w:val="none"/>
        </w:rPr>
        <w:t>职场表达的常见问题</w:t>
      </w:r>
    </w:p>
    <w:p>
      <w:pPr>
        <w:pStyle w:val="14"/>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二、</w:t>
      </w:r>
      <w:r>
        <w:rPr>
          <w:rFonts w:hint="eastAsia" w:ascii="微软雅黑" w:hAnsi="微软雅黑" w:eastAsia="微软雅黑" w:cs="微软雅黑"/>
          <w:b/>
          <w:bCs/>
          <w:i w:val="0"/>
          <w:iCs w:val="0"/>
          <w:color w:val="2F5597" w:themeColor="accent5" w:themeShade="BF"/>
          <w:kern w:val="2"/>
          <w:sz w:val="21"/>
          <w:szCs w:val="24"/>
          <w:u w:val="none"/>
          <w:lang w:val="en-US" w:eastAsia="zh-CN" w:bidi="ar-SA"/>
        </w:rPr>
        <w:t>试一试：你如何汇报一次会议安排</w:t>
      </w:r>
    </w:p>
    <w:p>
      <w:pPr>
        <w:pStyle w:val="14"/>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color w:val="2F5597" w:themeColor="accent5" w:themeShade="BF"/>
          <w:kern w:val="2"/>
          <w:sz w:val="21"/>
          <w:szCs w:val="24"/>
          <w:u w:val="none"/>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三、</w:t>
      </w:r>
      <w:r>
        <w:rPr>
          <w:rFonts w:hint="eastAsia" w:ascii="微软雅黑" w:hAnsi="微软雅黑" w:eastAsia="微软雅黑" w:cs="微软雅黑"/>
          <w:b/>
          <w:bCs/>
          <w:i w:val="0"/>
          <w:iCs w:val="0"/>
          <w:color w:val="2F5597" w:themeColor="accent5" w:themeShade="BF"/>
          <w:kern w:val="2"/>
          <w:sz w:val="21"/>
          <w:szCs w:val="24"/>
          <w:u w:val="none"/>
          <w:lang w:val="en-US" w:eastAsia="zh-CN" w:bidi="ar-SA"/>
        </w:rPr>
        <w:t>有效表达：金字塔原理</w:t>
      </w:r>
    </w:p>
    <w:p>
      <w:pPr>
        <w:pStyle w:val="15"/>
        <w:keepNext w:val="0"/>
        <w:keepLines w:val="0"/>
        <w:pageBreakBefore w:val="0"/>
        <w:numPr>
          <w:ilvl w:val="0"/>
          <w:numId w:val="2"/>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金字塔原理简介</w:t>
      </w:r>
    </w:p>
    <w:p>
      <w:pPr>
        <w:pStyle w:val="15"/>
        <w:keepNext w:val="0"/>
        <w:keepLines w:val="0"/>
        <w:pageBreakBefore w:val="0"/>
        <w:numPr>
          <w:ilvl w:val="0"/>
          <w:numId w:val="2"/>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金字塔原理解析：三大功效，四大特征，一个对比</w:t>
      </w:r>
    </w:p>
    <w:p>
      <w:pPr>
        <w:pStyle w:val="14"/>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四、</w:t>
      </w:r>
      <w:r>
        <w:rPr>
          <w:rFonts w:hint="eastAsia" w:ascii="微软雅黑" w:hAnsi="微软雅黑" w:eastAsia="微软雅黑" w:cs="微软雅黑"/>
          <w:b/>
          <w:bCs/>
          <w:i w:val="0"/>
          <w:iCs w:val="0"/>
          <w:color w:val="2F5597" w:themeColor="accent5" w:themeShade="BF"/>
          <w:kern w:val="2"/>
          <w:sz w:val="21"/>
          <w:szCs w:val="24"/>
          <w:u w:val="none"/>
          <w:lang w:val="en-US" w:eastAsia="zh-CN" w:bidi="ar-SA"/>
        </w:rPr>
        <w:t>有效表达：先搭后说</w:t>
      </w:r>
    </w:p>
    <w:p>
      <w:pPr>
        <w:pStyle w:val="15"/>
        <w:keepNext w:val="0"/>
        <w:keepLines w:val="0"/>
        <w:pageBreakBefore w:val="0"/>
        <w:numPr>
          <w:ilvl w:val="0"/>
          <w:numId w:val="3"/>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搭建：两种方向</w:t>
      </w:r>
    </w:p>
    <w:p>
      <w:pPr>
        <w:pStyle w:val="15"/>
        <w:keepNext w:val="0"/>
        <w:keepLines w:val="0"/>
        <w:pageBreakBefore w:val="0"/>
        <w:numPr>
          <w:ilvl w:val="0"/>
          <w:numId w:val="0"/>
        </w:numPr>
        <w:kinsoku/>
        <w:wordWrap/>
        <w:overflowPunct/>
        <w:topLinePunct w:val="0"/>
        <w:bidi w:val="0"/>
        <w:spacing w:line="400" w:lineRule="exact"/>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自下而上</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理清思路</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三个原则</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课堂演练：搭建一个课程的金字塔框架</w:t>
      </w:r>
    </w:p>
    <w:p>
      <w:pPr>
        <w:pStyle w:val="15"/>
        <w:keepNext w:val="0"/>
        <w:keepLines w:val="0"/>
        <w:pageBreakBefore w:val="0"/>
        <w:numPr>
          <w:ilvl w:val="0"/>
          <w:numId w:val="0"/>
        </w:numPr>
        <w:kinsoku/>
        <w:wordWrap/>
        <w:overflowPunct/>
        <w:topLinePunct w:val="0"/>
        <w:bidi w:val="0"/>
        <w:spacing w:line="400" w:lineRule="exact"/>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自上而下</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延展思路</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三个需要</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课堂演练：搭建一个年初规划/年终总结的表达框架</w:t>
      </w:r>
    </w:p>
    <w:p>
      <w:pPr>
        <w:pStyle w:val="15"/>
        <w:keepNext w:val="0"/>
        <w:keepLines w:val="0"/>
        <w:pageBreakBefore w:val="0"/>
        <w:numPr>
          <w:ilvl w:val="0"/>
          <w:numId w:val="3"/>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表达：一种方向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6先6后</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案例对比：谁的表达好？</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布置工作需要自上而下表达</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课堂演练：怎样才能更好地向客户介绍一款新产品</w:t>
      </w:r>
    </w:p>
    <w:p>
      <w:pPr>
        <w:pStyle w:val="15"/>
        <w:keepNext w:val="0"/>
        <w:keepLines w:val="0"/>
        <w:pageBreakBefore w:val="0"/>
        <w:numPr>
          <w:ilvl w:val="0"/>
          <w:numId w:val="3"/>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用金字塔做汇报</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结论式汇报</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过程式汇报</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选择式汇报</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开放式汇报</w:t>
      </w:r>
    </w:p>
    <w:p>
      <w:pPr>
        <w:pStyle w:val="15"/>
        <w:keepNext w:val="0"/>
        <w:keepLines w:val="0"/>
        <w:pageBreakBefore w:val="0"/>
        <w:numPr>
          <w:ilvl w:val="0"/>
          <w:numId w:val="3"/>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结构化应对</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PREP式</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SABC式</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SPOP式</w:t>
      </w:r>
    </w:p>
    <w:p>
      <w:pPr>
        <w:pStyle w:val="15"/>
        <w:keepNext w:val="0"/>
        <w:keepLines w:val="0"/>
        <w:pageBreakBefore w:val="0"/>
        <w:numPr>
          <w:ilvl w:val="0"/>
          <w:numId w:val="3"/>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即兴发言</w:t>
      </w:r>
    </w:p>
    <w:p>
      <w:pPr>
        <w:keepNext w:val="0"/>
        <w:keepLines w:val="0"/>
        <w:pageBreakBefore w:val="0"/>
        <w:kinsoku/>
        <w:wordWrap/>
        <w:overflowPunct/>
        <w:topLinePunct w:val="0"/>
        <w:bidi w:val="0"/>
        <w:spacing w:line="400" w:lineRule="exact"/>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65408"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22" name="图片 2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keepNext w:val="0"/>
        <w:keepLines w:val="0"/>
        <w:pageBreakBefore w:val="0"/>
        <w:kinsoku/>
        <w:wordWrap/>
        <w:overflowPunct/>
        <w:topLinePunct w:val="0"/>
        <w:bidi w:val="0"/>
        <w:spacing w:line="400" w:lineRule="exact"/>
        <w:jc w:val="lef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i w:val="0"/>
          <w:iCs w:val="0"/>
          <w:sz w:val="24"/>
          <w:u w:val="none"/>
        </w:rPr>
        <w:t>第三部分：邮件呈现</w:t>
      </w:r>
    </w:p>
    <w:p>
      <w:pPr>
        <w:keepNext w:val="0"/>
        <w:keepLines w:val="0"/>
        <w:pageBreakBefore w:val="0"/>
        <w:widowControl w:val="0"/>
        <w:kinsoku/>
        <w:wordWrap/>
        <w:overflowPunct/>
        <w:topLinePunct w:val="0"/>
        <w:autoSpaceDE/>
        <w:autoSpaceDN/>
        <w:bidi w:val="0"/>
        <w:adjustRightInd/>
        <w:snapToGrid/>
        <w:spacing w:before="95" w:beforeLines="30" w:line="400" w:lineRule="exact"/>
        <w:ind w:left="0" w:leftChars="0"/>
        <w:textAlignment w:val="auto"/>
        <w:rPr>
          <w:rFonts w:hint="eastAsia" w:ascii="微软雅黑" w:hAnsi="微软雅黑" w:eastAsia="微软雅黑" w:cs="微软雅黑"/>
          <w:b/>
          <w:bCs/>
          <w:i w:val="0"/>
          <w:iCs w:val="0"/>
          <w:u w:val="none"/>
        </w:rPr>
      </w:pPr>
      <w:r>
        <w:rPr>
          <w:b/>
          <w:bCs/>
          <w:sz w:val="21"/>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4445</wp:posOffset>
                </wp:positionV>
                <wp:extent cx="6229350" cy="0"/>
                <wp:effectExtent l="0" t="6350" r="6350" b="6350"/>
                <wp:wrapNone/>
                <wp:docPr id="2" name="直接连接符 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35pt;height:0pt;width:490.5pt;z-index:251668480;mso-width-relative:page;mso-height-relative:page;" filled="f" stroked="t" coordsize="21600,21600" o:gfxdata="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jj8m01AAAAAQBAAAPAAAAAAAA&#10;AAEAIAAAACIAAABkcnMvZG93bnJldi54bWxQSwECFAAUAAAACACHTuJAVzMCyogCAADJBQAADgAA&#10;AAAAAAABACAAAAAj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bCs/>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一、</w:t>
      </w:r>
      <w:r>
        <w:rPr>
          <w:rFonts w:hint="eastAsia" w:ascii="微软雅黑" w:hAnsi="微软雅黑" w:eastAsia="微软雅黑" w:cs="微软雅黑"/>
          <w:b/>
          <w:bCs/>
          <w:i w:val="0"/>
          <w:iCs w:val="0"/>
          <w:u w:val="none"/>
        </w:rPr>
        <w:t>职场沟通的形式</w:t>
      </w:r>
    </w:p>
    <w:p>
      <w:pPr>
        <w:pStyle w:val="15"/>
        <w:keepNext w:val="0"/>
        <w:keepLines w:val="0"/>
        <w:pageBreakBefore w:val="0"/>
        <w:numPr>
          <w:ilvl w:val="0"/>
          <w:numId w:val="4"/>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五大形式</w:t>
      </w:r>
    </w:p>
    <w:p>
      <w:pPr>
        <w:pStyle w:val="15"/>
        <w:keepNext w:val="0"/>
        <w:keepLines w:val="0"/>
        <w:pageBreakBefore w:val="0"/>
        <w:numPr>
          <w:ilvl w:val="0"/>
          <w:numId w:val="4"/>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邮件的特点分析：什么时候用，什么时候不用</w:t>
      </w:r>
    </w:p>
    <w:p>
      <w:pPr>
        <w:pStyle w:val="15"/>
        <w:keepNext w:val="0"/>
        <w:keepLines w:val="0"/>
        <w:pageBreakBefore w:val="0"/>
        <w:numPr>
          <w:ilvl w:val="0"/>
          <w:numId w:val="4"/>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邮件的对象：上级、下级、同级、跨部门、跨文化、客户、经销商、供应商</w:t>
      </w:r>
    </w:p>
    <w:p>
      <w:pPr>
        <w:pStyle w:val="15"/>
        <w:keepNext w:val="0"/>
        <w:keepLines w:val="0"/>
        <w:pageBreakBefore w:val="0"/>
        <w:numPr>
          <w:ilvl w:val="0"/>
          <w:numId w:val="4"/>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邮件的情境：四类邮件</w:t>
      </w:r>
    </w:p>
    <w:p>
      <w:pPr>
        <w:pStyle w:val="15"/>
        <w:keepNext w:val="0"/>
        <w:keepLines w:val="0"/>
        <w:pageBreakBefore w:val="0"/>
        <w:numPr>
          <w:ilvl w:val="0"/>
          <w:numId w:val="4"/>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邮件的目的：你为什么写？你想让对方做什么？对方为什么要这么做？</w:t>
      </w:r>
    </w:p>
    <w:p>
      <w:pPr>
        <w:pStyle w:val="15"/>
        <w:keepNext w:val="0"/>
        <w:keepLines w:val="0"/>
        <w:pageBreakBefore w:val="0"/>
        <w:numPr>
          <w:ilvl w:val="0"/>
          <w:numId w:val="4"/>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 xml:space="preserve">核心原则：角色互换 </w:t>
      </w:r>
    </w:p>
    <w:p>
      <w:pPr>
        <w:pStyle w:val="14"/>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u w:val="none"/>
        </w:rPr>
      </w:pPr>
      <w:r>
        <w:rPr>
          <w:rFonts w:hint="eastAsia" w:ascii="微软雅黑" w:hAnsi="微软雅黑" w:eastAsia="微软雅黑" w:cs="微软雅黑"/>
          <w:b/>
          <w:bCs/>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二、</w:t>
      </w:r>
      <w:r>
        <w:rPr>
          <w:rFonts w:hint="eastAsia" w:ascii="微软雅黑" w:hAnsi="微软雅黑" w:eastAsia="微软雅黑" w:cs="微软雅黑"/>
          <w:b/>
          <w:bCs/>
          <w:i w:val="0"/>
          <w:iCs w:val="0"/>
          <w:u w:val="none"/>
        </w:rPr>
        <w:t>邮件结构：7大要素</w:t>
      </w:r>
    </w:p>
    <w:p>
      <w:pPr>
        <w:pStyle w:val="15"/>
        <w:keepNext w:val="0"/>
        <w:keepLines w:val="0"/>
        <w:pageBreakBefore w:val="0"/>
        <w:numPr>
          <w:ilvl w:val="0"/>
          <w:numId w:val="5"/>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邮件的标题：精、准</w:t>
      </w:r>
    </w:p>
    <w:p>
      <w:pPr>
        <w:pStyle w:val="15"/>
        <w:keepNext w:val="0"/>
        <w:keepLines w:val="0"/>
        <w:pageBreakBefore w:val="0"/>
        <w:numPr>
          <w:ilvl w:val="0"/>
          <w:numId w:val="5"/>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邮件的正文：战地记者原则+金字塔原理</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语言： 用对方看得懂的语言</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语句：长句变断句、一段变多段、醒目的小标题</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词汇：精简、不用模糊语言、不用描述语言、要数据和事实</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态度：对事不对人、“强调做到的，而不是做不到的”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格式：字体、标点、行距、对齐都用心</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附件：注意数量、注意命名</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邮件的输入顺序</w:t>
      </w:r>
    </w:p>
    <w:p>
      <w:pPr>
        <w:pStyle w:val="15"/>
        <w:keepNext w:val="0"/>
        <w:keepLines w:val="0"/>
        <w:pageBreakBefore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i w:val="0"/>
          <w:iCs w:val="0"/>
          <w:u w:val="none"/>
        </w:rPr>
        <w:t>课堂演练：撰写一封邮件，汇报此次培训。</w:t>
      </w:r>
    </w:p>
    <w:p>
      <w:pPr>
        <w:keepNext w:val="0"/>
        <w:keepLines w:val="0"/>
        <w:pageBreakBefore w:val="0"/>
        <w:kinsoku/>
        <w:wordWrap/>
        <w:overflowPunct/>
        <w:topLinePunct w:val="0"/>
        <w:bidi w:val="0"/>
        <w:spacing w:line="400" w:lineRule="exact"/>
        <w:ind w:firstLine="720" w:firstLineChars="300"/>
        <w:jc w:val="left"/>
        <w:textAlignment w:val="auto"/>
        <w:rPr>
          <w:rFonts w:hint="default" w:ascii="微软雅黑" w:hAnsi="微软雅黑" w:eastAsia="微软雅黑" w:cs="微软雅黑"/>
          <w:i w:val="0"/>
          <w:iCs w:val="0"/>
          <w:sz w:val="24"/>
          <w:szCs w:val="24"/>
          <w:u w:val="none"/>
          <w:lang w:val="en-US"/>
        </w:rPr>
      </w:pPr>
      <w:r>
        <w:rPr>
          <w:rFonts w:hint="default" w:ascii="微软雅黑" w:hAnsi="微软雅黑" w:eastAsia="微软雅黑" w:cs="微软雅黑"/>
          <w:i w:val="0"/>
          <w:iCs w:val="0"/>
          <w:sz w:val="24"/>
          <w:szCs w:val="24"/>
          <w:u w:val="none"/>
          <w:lang w:val="en-US"/>
        </w:rPr>
        <w:drawing>
          <wp:anchor distT="0" distB="0" distL="114300" distR="114300" simplePos="0" relativeHeight="251671552" behindDoc="0" locked="0" layoutInCell="1" allowOverlap="1">
            <wp:simplePos x="0" y="0"/>
            <wp:positionH relativeFrom="column">
              <wp:posOffset>-25400</wp:posOffset>
            </wp:positionH>
            <wp:positionV relativeFrom="paragraph">
              <wp:posOffset>134620</wp:posOffset>
            </wp:positionV>
            <wp:extent cx="298450" cy="301625"/>
            <wp:effectExtent l="0" t="0" r="6350" b="3175"/>
            <wp:wrapSquare wrapText="bothSides"/>
            <wp:docPr id="7" name="图片 7"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keepNext w:val="0"/>
        <w:keepLines w:val="0"/>
        <w:pageBreakBefore w:val="0"/>
        <w:kinsoku/>
        <w:wordWrap/>
        <w:overflowPunct/>
        <w:topLinePunct w:val="0"/>
        <w:bidi w:val="0"/>
        <w:spacing w:line="400" w:lineRule="exact"/>
        <w:jc w:val="left"/>
        <w:textAlignment w:val="auto"/>
        <w:rPr>
          <w:rFonts w:hint="eastAsia" w:ascii="微软雅黑" w:hAnsi="微软雅黑" w:eastAsia="微软雅黑" w:cs="微软雅黑"/>
          <w:i w:val="0"/>
          <w:iCs w:val="0"/>
          <w:u w:val="none"/>
        </w:rPr>
      </w:pPr>
      <w:r>
        <w:rPr>
          <w:rFonts w:hint="eastAsia" w:ascii="微软雅黑" w:hAnsi="微软雅黑" w:eastAsia="微软雅黑" w:cs="微软雅黑"/>
          <w:b/>
          <w:i w:val="0"/>
          <w:iCs w:val="0"/>
          <w:sz w:val="24"/>
          <w:u w:val="none"/>
        </w:rPr>
        <w:t>第四部分：总结篇（可选择）</w:t>
      </w:r>
    </w:p>
    <w:p>
      <w:pPr>
        <w:pStyle w:val="15"/>
        <w:keepNext w:val="0"/>
        <w:keepLines w:val="0"/>
        <w:pageBreakBefore w:val="0"/>
        <w:widowControl w:val="0"/>
        <w:numPr>
          <w:ilvl w:val="0"/>
          <w:numId w:val="6"/>
        </w:numPr>
        <w:kinsoku/>
        <w:wordWrap/>
        <w:overflowPunct/>
        <w:topLinePunct w:val="0"/>
        <w:autoSpaceDE/>
        <w:autoSpaceDN/>
        <w:bidi w:val="0"/>
        <w:adjustRightInd/>
        <w:snapToGrid/>
        <w:spacing w:before="95" w:beforeLines="30"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4445</wp:posOffset>
                </wp:positionV>
                <wp:extent cx="62293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35pt;height:0pt;width:490.5pt;z-index:251672576;mso-width-relative:page;mso-height-relative:page;" filled="f" stroked="t" coordsize="21600,21600" o:gfxdata="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3vq0tUAAAAEAQAADwAAAAAA&#10;AAABACAAAAAiAAAAZHJzL2Rvd25yZXYueG1sUEsBAhQAFAAAAAgAh07iQH8u1meIAgAAyQUAAA4A&#10;AAAAAAAAAQAgAAAAJA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i w:val="0"/>
          <w:iCs w:val="0"/>
          <w:u w:val="none"/>
        </w:rPr>
        <w:t>金字塔不是万能的：两个必须</w:t>
      </w:r>
    </w:p>
    <w:p>
      <w:pPr>
        <w:pStyle w:val="15"/>
        <w:keepNext w:val="0"/>
        <w:keepLines w:val="0"/>
        <w:pageBreakBefore w:val="0"/>
        <w:numPr>
          <w:ilvl w:val="0"/>
          <w:numId w:val="6"/>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如何拥有金字塔式思维习惯</w:t>
      </w:r>
    </w:p>
    <w:p>
      <w:pPr>
        <w:pStyle w:val="15"/>
        <w:keepNext w:val="0"/>
        <w:keepLines w:val="0"/>
        <w:pageBreakBefore w:val="0"/>
        <w:numPr>
          <w:ilvl w:val="0"/>
          <w:numId w:val="6"/>
        </w:numPr>
        <w:kinsoku/>
        <w:wordWrap/>
        <w:overflowPunct/>
        <w:topLinePunct w:val="0"/>
        <w:bidi w:val="0"/>
        <w:spacing w:line="400" w:lineRule="exact"/>
        <w:ind w:left="425" w:leftChars="0" w:hanging="425" w:firstLineChars="0"/>
        <w:textAlignment w:val="auto"/>
        <w:rPr>
          <w:rFonts w:hint="eastAsia" w:ascii="微软雅黑" w:hAnsi="微软雅黑" w:eastAsia="微软雅黑" w:cs="微软雅黑"/>
          <w:i w:val="0"/>
          <w:iCs w:val="0"/>
          <w:u w:val="none"/>
        </w:rPr>
      </w:pPr>
      <w:r>
        <w:rPr>
          <w:rFonts w:hint="eastAsia" w:ascii="微软雅黑" w:hAnsi="微软雅黑" w:eastAsia="微软雅黑" w:cs="微软雅黑"/>
          <w:i w:val="0"/>
          <w:iCs w:val="0"/>
          <w:u w:val="none"/>
        </w:rPr>
        <w:t>金字塔式表达也需要“导入”</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微软雅黑" w:hAnsi="微软雅黑" w:eastAsia="微软雅黑" w:cs="微软雅黑"/>
          <w:b/>
          <w:bCs/>
          <w:color w:val="000000"/>
          <w:sz w:val="24"/>
          <w:szCs w:val="72"/>
          <w14:shadow w14:blurRad="50800" w14:dist="38100" w14:dir="18900000" w14:sx="100000" w14:sy="100000" w14:kx="0" w14:ky="0" w14:algn="bl">
            <w14:srgbClr w14:val="000000">
              <w14:alpha w14:val="60000"/>
            </w14:srgbClr>
          </w14:shadow>
        </w:rPr>
      </w:pPr>
      <w:r>
        <w:rPr>
          <w:rFonts w:hint="eastAsia" w:ascii="微软雅黑" w:hAnsi="微软雅黑" w:eastAsia="微软雅黑" w:cs="微软雅黑"/>
          <w:b/>
          <w:bCs/>
          <w:color w:val="000000"/>
          <w:sz w:val="24"/>
          <w:szCs w:val="72"/>
          <w:lang w:eastAsia="zh-CN"/>
          <w14:shadow w14:blurRad="50800" w14:dist="38100" w14:dir="18900000" w14:sx="100000" w14:sy="100000" w14:kx="0" w14:ky="0" w14:algn="bl">
            <w14:srgbClr w14:val="000000">
              <w14:alpha w14:val="60000"/>
            </w14:srgbClr>
          </w14:shadow>
        </w:rPr>
        <w:t>李</w:t>
      </w:r>
      <w:r>
        <w:rPr>
          <w:rFonts w:hint="eastAsia" w:ascii="微软雅黑" w:hAnsi="微软雅黑" w:eastAsia="微软雅黑" w:cs="微软雅黑"/>
          <w:b/>
          <w:bCs/>
          <w:color w:val="000000"/>
          <w:sz w:val="24"/>
          <w:szCs w:val="72"/>
          <w14:shadow w14:blurRad="50800" w14:dist="38100" w14:dir="18900000" w14:sx="100000" w14:sy="100000" w14:kx="0" w14:ky="0" w14:algn="bl">
            <w14:srgbClr w14:val="000000">
              <w14:alpha w14:val="60000"/>
            </w14:srgbClr>
          </w14:shadow>
        </w:rPr>
        <w:t>老师</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t>行业经验</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i w:val="0"/>
          <w:iCs w:val="0"/>
          <w:sz w:val="21"/>
          <w:szCs w:val="21"/>
          <w:u w:val="none"/>
        </w:rPr>
        <w:t>世界500强企业内部培训师</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i w:val="0"/>
          <w:iCs w:val="0"/>
          <w:sz w:val="21"/>
          <w:szCs w:val="21"/>
          <w:u w:val="none"/>
        </w:rPr>
        <w:t>上市公司高级主管及内训经理</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pPr>
      <w:bookmarkStart w:id="0" w:name="OLE_LINK1"/>
      <w:bookmarkStart w:id="1" w:name="OLE_LINK2"/>
      <w:r>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t>教育背景</w:t>
      </w:r>
    </w:p>
    <w:bookmarkEnd w:id="0"/>
    <w:bookmarkEnd w:id="1"/>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i w:val="0"/>
          <w:iCs w:val="0"/>
          <w:sz w:val="21"/>
          <w:szCs w:val="21"/>
          <w:u w:val="none"/>
        </w:rPr>
        <w:t>国家二级心理咨询师</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i w:val="0"/>
          <w:iCs w:val="0"/>
          <w:sz w:val="21"/>
          <w:szCs w:val="21"/>
          <w:u w:val="none"/>
        </w:rPr>
        <w:t>中级经济师</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bCs/>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i w:val="0"/>
          <w:iCs w:val="0"/>
          <w:sz w:val="21"/>
          <w:szCs w:val="21"/>
          <w:u w:val="none"/>
        </w:rPr>
        <w:t>复旦大学双学位</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t>工作经历</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b w:val="0"/>
          <w:bCs w:val="0"/>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i w:val="0"/>
          <w:iCs w:val="0"/>
          <w:sz w:val="21"/>
          <w:szCs w:val="21"/>
          <w:u w:val="none"/>
        </w:rPr>
        <w:t>PROMADONNA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b w:val="0"/>
          <w:bCs w:val="0"/>
          <w:i w:val="0"/>
          <w:iCs w:val="0"/>
          <w:sz w:val="21"/>
          <w:szCs w:val="21"/>
          <w:u w:val="none"/>
        </w:rPr>
        <w:t>2003-2007</w:t>
      </w:r>
      <w:r>
        <w:rPr>
          <w:rFonts w:hint="eastAsia" w:ascii="微软雅黑" w:hAnsi="微软雅黑" w:eastAsia="微软雅黑" w:cs="微软雅黑"/>
          <w:b w:val="0"/>
          <w:bCs w:val="0"/>
          <w:i w:val="0"/>
          <w:iCs w:val="0"/>
          <w:sz w:val="21"/>
          <w:szCs w:val="21"/>
          <w:u w:val="none"/>
        </w:rPr>
        <w:tab/>
      </w:r>
      <w:r>
        <w:rPr>
          <w:rFonts w:hint="eastAsia" w:ascii="微软雅黑" w:hAnsi="微软雅黑" w:eastAsia="微软雅黑" w:cs="微软雅黑"/>
          <w:b w:val="0"/>
          <w:bCs w:val="0"/>
          <w:i w:val="0"/>
          <w:iCs w:val="0"/>
          <w:sz w:val="21"/>
          <w:szCs w:val="21"/>
          <w:u w:val="none"/>
        </w:rPr>
        <w:t>（上海）奢侈品牌宝诗龙项目经理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b w:val="0"/>
          <w:bCs w:val="0"/>
          <w:i w:val="0"/>
          <w:iCs w:val="0"/>
          <w:sz w:val="21"/>
          <w:szCs w:val="21"/>
          <w:u w:val="none"/>
        </w:rPr>
        <w:t>2007-2008</w:t>
      </w:r>
      <w:r>
        <w:rPr>
          <w:rFonts w:hint="eastAsia" w:ascii="微软雅黑" w:hAnsi="微软雅黑" w:eastAsia="微软雅黑" w:cs="微软雅黑"/>
          <w:b w:val="0"/>
          <w:bCs w:val="0"/>
          <w:i w:val="0"/>
          <w:iCs w:val="0"/>
          <w:sz w:val="21"/>
          <w:szCs w:val="21"/>
          <w:u w:val="none"/>
        </w:rPr>
        <w:tab/>
      </w:r>
      <w:r>
        <w:rPr>
          <w:rFonts w:hint="eastAsia" w:ascii="微软雅黑" w:hAnsi="微软雅黑" w:eastAsia="微软雅黑" w:cs="微软雅黑"/>
          <w:b w:val="0"/>
          <w:bCs w:val="0"/>
          <w:i w:val="0"/>
          <w:iCs w:val="0"/>
          <w:sz w:val="21"/>
          <w:szCs w:val="21"/>
          <w:u w:val="none"/>
        </w:rPr>
        <w:t>（苏州）苏州科技文化艺术中心项目经理</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b w:val="0"/>
          <w:bCs w:val="0"/>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i w:val="0"/>
          <w:iCs w:val="0"/>
          <w:sz w:val="21"/>
          <w:szCs w:val="21"/>
          <w:u w:val="none"/>
        </w:rPr>
        <w:t>2008-2012</w:t>
      </w:r>
      <w:r>
        <w:rPr>
          <w:rFonts w:hint="eastAsia" w:ascii="微软雅黑" w:hAnsi="微软雅黑" w:eastAsia="微软雅黑" w:cs="微软雅黑"/>
          <w:b w:val="0"/>
          <w:bCs w:val="0"/>
          <w:i w:val="0"/>
          <w:iCs w:val="0"/>
          <w:sz w:val="21"/>
          <w:szCs w:val="21"/>
          <w:u w:val="none"/>
        </w:rPr>
        <w:tab/>
      </w:r>
      <w:r>
        <w:rPr>
          <w:rFonts w:hint="eastAsia" w:ascii="微软雅黑" w:hAnsi="微软雅黑" w:eastAsia="微软雅黑" w:cs="微软雅黑"/>
          <w:b w:val="0"/>
          <w:bCs w:val="0"/>
          <w:i w:val="0"/>
          <w:iCs w:val="0"/>
          <w:sz w:val="21"/>
          <w:szCs w:val="21"/>
          <w:u w:val="none"/>
        </w:rPr>
        <w:t xml:space="preserve">内训经理 </w:t>
      </w:r>
      <w:r>
        <w:rPr>
          <w:rFonts w:hint="eastAsia" w:ascii="微软雅黑" w:hAnsi="微软雅黑" w:eastAsia="微软雅黑" w:cs="微软雅黑"/>
          <w:b w:val="0"/>
          <w:bCs w:val="0"/>
          <w:i w:val="0"/>
          <w:iCs w:val="0"/>
          <w:sz w:val="21"/>
          <w:szCs w:val="21"/>
          <w:u w:val="none"/>
        </w:rPr>
        <w:tab/>
      </w:r>
      <w:r>
        <w:rPr>
          <w:rFonts w:hint="eastAsia" w:ascii="微软雅黑" w:hAnsi="微软雅黑" w:eastAsia="微软雅黑" w:cs="微软雅黑"/>
          <w:b w:val="0"/>
          <w:bCs w:val="0"/>
          <w:i w:val="0"/>
          <w:iCs w:val="0"/>
          <w:sz w:val="21"/>
          <w:szCs w:val="21"/>
          <w:u w:val="none"/>
        </w:rPr>
        <w:t>上海良信电器股份有限公司</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b w:val="0"/>
          <w:bCs w:val="0"/>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i w:val="0"/>
          <w:iCs w:val="0"/>
          <w:sz w:val="21"/>
          <w:szCs w:val="21"/>
          <w:u w:val="none"/>
        </w:rPr>
        <w:t>2013-2015</w:t>
      </w:r>
      <w:r>
        <w:rPr>
          <w:rFonts w:hint="eastAsia" w:ascii="微软雅黑" w:hAnsi="微软雅黑" w:eastAsia="微软雅黑" w:cs="微软雅黑"/>
          <w:b w:val="0"/>
          <w:bCs w:val="0"/>
          <w:i w:val="0"/>
          <w:iCs w:val="0"/>
          <w:sz w:val="21"/>
          <w:szCs w:val="21"/>
          <w:u w:val="none"/>
        </w:rPr>
        <w:tab/>
      </w:r>
      <w:r>
        <w:rPr>
          <w:rFonts w:hint="eastAsia" w:ascii="微软雅黑" w:hAnsi="微软雅黑" w:eastAsia="微软雅黑" w:cs="微软雅黑"/>
          <w:b w:val="0"/>
          <w:bCs w:val="0"/>
          <w:i w:val="0"/>
          <w:iCs w:val="0"/>
          <w:sz w:val="21"/>
          <w:szCs w:val="21"/>
          <w:u w:val="none"/>
        </w:rPr>
        <w:t>全职培训师</w:t>
      </w:r>
      <w:r>
        <w:rPr>
          <w:rFonts w:hint="eastAsia" w:ascii="微软雅黑" w:hAnsi="微软雅黑" w:eastAsia="微软雅黑" w:cs="微软雅黑"/>
          <w:b w:val="0"/>
          <w:bCs w:val="0"/>
          <w:i w:val="0"/>
          <w:iCs w:val="0"/>
          <w:sz w:val="21"/>
          <w:szCs w:val="21"/>
          <w:u w:val="none"/>
        </w:rPr>
        <w:tab/>
      </w:r>
      <w:r>
        <w:rPr>
          <w:rFonts w:hint="eastAsia" w:ascii="微软雅黑" w:hAnsi="微软雅黑" w:eastAsia="微软雅黑" w:cs="微软雅黑"/>
          <w:b w:val="0"/>
          <w:bCs w:val="0"/>
          <w:i w:val="0"/>
          <w:iCs w:val="0"/>
          <w:sz w:val="21"/>
          <w:szCs w:val="21"/>
          <w:u w:val="none"/>
        </w:rPr>
        <w:t>某著名培训机构</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t>个人风格</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i w:val="0"/>
          <w:iCs w:val="0"/>
          <w:sz w:val="21"/>
          <w:szCs w:val="21"/>
          <w:u w:val="none"/>
        </w:rPr>
        <w:t>逻辑思路清晰、理性而不失幽默；</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i w:val="0"/>
          <w:iCs w:val="0"/>
          <w:sz w:val="21"/>
          <w:szCs w:val="21"/>
          <w:u w:val="none"/>
        </w:rPr>
        <w:t>善于结合企业实际工作开展培训，尤其擅长在培训中融入行动式学习与体验式学习；</w:t>
      </w:r>
    </w:p>
    <w:p>
      <w:pPr>
        <w:keepNext w:val="0"/>
        <w:keepLines w:val="0"/>
        <w:pageBreakBefore w:val="0"/>
        <w:widowControl w:val="0"/>
        <w:numPr>
          <w:ilvl w:val="0"/>
          <w:numId w:val="0"/>
        </w:numPr>
        <w:kinsoku/>
        <w:wordWrap/>
        <w:overflowPunct/>
        <w:topLinePunct w:val="0"/>
        <w:bidi w:val="0"/>
        <w:spacing w:line="400" w:lineRule="exact"/>
        <w:ind w:leftChars="0"/>
        <w:textAlignment w:val="auto"/>
        <w:rPr>
          <w:rFonts w:hint="eastAsia" w:ascii="微软雅黑" w:hAnsi="微软雅黑" w:eastAsia="微软雅黑" w:cs="微软雅黑"/>
          <w:b w:val="0"/>
          <w:bCs w:val="0"/>
          <w:i w:val="0"/>
          <w:iCs w:val="0"/>
          <w:sz w:val="21"/>
          <w:szCs w:val="21"/>
          <w:u w:val="none"/>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val="0"/>
          <w:bCs w:val="0"/>
          <w:i w:val="0"/>
          <w:iCs w:val="0"/>
          <w:sz w:val="21"/>
          <w:szCs w:val="21"/>
          <w:u w:val="none"/>
        </w:rPr>
        <w:t>能灵活调整培训方式，从容应对多元文化情境；</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t>擅长课程</w:t>
      </w:r>
    </w:p>
    <w:p>
      <w:pPr>
        <w:pStyle w:val="16"/>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both"/>
        <w:textAlignment w:val="auto"/>
        <w:rPr>
          <w:rFonts w:hint="eastAsia" w:ascii="微软雅黑" w:hAnsi="微软雅黑" w:eastAsia="微软雅黑" w:cs="微软雅黑"/>
          <w:i w:val="0"/>
          <w:iCs w:val="0"/>
          <w:color w:val="0C0C0C"/>
          <w:sz w:val="21"/>
          <w:szCs w:val="21"/>
          <w:u w:val="none"/>
        </w:rPr>
      </w:pPr>
      <w:r>
        <w:rPr>
          <w:rFonts w:hint="eastAsia" w:ascii="微软雅黑" w:hAnsi="微软雅黑" w:eastAsia="微软雅黑" w:cs="微软雅黑"/>
          <w:i w:val="0"/>
          <w:iCs w:val="0"/>
          <w:color w:val="0C0C0C"/>
          <w:sz w:val="21"/>
          <w:szCs w:val="21"/>
          <w:u w:val="none"/>
        </w:rPr>
        <w:t>逻辑思维方式与有效沟通</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val="0"/>
          <w:iCs w:val="0"/>
          <w:sz w:val="21"/>
          <w:szCs w:val="21"/>
          <w:u w:val="none"/>
          <w14:shadow w14:blurRad="50800" w14:dist="38100" w14:dir="2700000" w14:sx="100000" w14:sy="100000" w14:kx="0" w14:ky="0" w14:algn="tl">
            <w14:srgbClr w14:val="000000">
              <w14:alpha w14:val="60000"/>
            </w14:srgbClr>
          </w14:shadow>
        </w:rPr>
        <w:t>主要服务客户</w:t>
      </w:r>
    </w:p>
    <w:p>
      <w:pPr>
        <w:keepNext w:val="0"/>
        <w:keepLines w:val="0"/>
        <w:pageBreakBefore w:val="0"/>
        <w:widowControl w:val="0"/>
        <w:kinsoku/>
        <w:wordWrap/>
        <w:overflowPunct/>
        <w:topLinePunct w:val="0"/>
        <w:bidi w:val="0"/>
        <w:spacing w:line="400" w:lineRule="exact"/>
        <w:ind w:left="2100" w:hanging="2100"/>
        <w:textAlignment w:val="auto"/>
        <w:rPr>
          <w:rFonts w:hint="eastAsia" w:ascii="微软雅黑" w:hAnsi="微软雅黑" w:eastAsia="微软雅黑" w:cs="微软雅黑"/>
          <w:i w:val="0"/>
          <w:iCs w:val="0"/>
          <w:color w:val="0C0C0C"/>
          <w:sz w:val="21"/>
          <w:szCs w:val="21"/>
          <w:u w:val="none"/>
        </w:rPr>
      </w:pPr>
      <w:r>
        <w:rPr>
          <w:rFonts w:hint="eastAsia" w:ascii="微软雅黑" w:hAnsi="微软雅黑" w:eastAsia="微软雅黑" w:cs="微软雅黑"/>
          <w:b/>
          <w:i w:val="0"/>
          <w:iCs w:val="0"/>
          <w:color w:val="0C0C0C"/>
          <w:sz w:val="21"/>
          <w:szCs w:val="21"/>
          <w:u w:val="none"/>
        </w:rPr>
        <w:t>制造业：</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国际纸业、通力电梯、阿特拉斯、通快、，马夸特、福维克、德力西</w:t>
      </w:r>
    </w:p>
    <w:p>
      <w:pPr>
        <w:keepNext w:val="0"/>
        <w:keepLines w:val="0"/>
        <w:pageBreakBefore w:val="0"/>
        <w:widowControl w:val="0"/>
        <w:kinsoku/>
        <w:wordWrap/>
        <w:overflowPunct/>
        <w:topLinePunct w:val="0"/>
        <w:bidi w:val="0"/>
        <w:spacing w:line="400" w:lineRule="exact"/>
        <w:ind w:left="2096" w:hanging="2096"/>
        <w:textAlignment w:val="auto"/>
        <w:rPr>
          <w:rFonts w:hint="eastAsia" w:ascii="微软雅黑" w:hAnsi="微软雅黑" w:eastAsia="微软雅黑" w:cs="微软雅黑"/>
          <w:b/>
          <w:i w:val="0"/>
          <w:iCs w:val="0"/>
          <w:color w:val="0C0C0C"/>
          <w:sz w:val="21"/>
          <w:szCs w:val="21"/>
          <w:u w:val="none"/>
        </w:rPr>
      </w:pPr>
      <w:r>
        <w:rPr>
          <w:rFonts w:hint="eastAsia" w:ascii="微软雅黑" w:hAnsi="微软雅黑" w:eastAsia="微软雅黑" w:cs="微软雅黑"/>
          <w:b/>
          <w:i w:val="0"/>
          <w:iCs w:val="0"/>
          <w:color w:val="0C0C0C"/>
          <w:sz w:val="21"/>
          <w:szCs w:val="21"/>
          <w:u w:val="none"/>
        </w:rPr>
        <w:t>汽车相关行业：</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奇瑞汽车、海斯坦普、法维莱、威伯科、海拉集团</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color w:val="0C0C0C"/>
          <w:sz w:val="21"/>
          <w:szCs w:val="21"/>
          <w:u w:val="none"/>
        </w:rPr>
      </w:pPr>
      <w:r>
        <w:rPr>
          <w:rFonts w:hint="eastAsia" w:ascii="微软雅黑" w:hAnsi="微软雅黑" w:eastAsia="微软雅黑" w:cs="微软雅黑"/>
          <w:b/>
          <w:i w:val="0"/>
          <w:iCs w:val="0"/>
          <w:color w:val="0C0C0C"/>
          <w:sz w:val="21"/>
          <w:szCs w:val="21"/>
          <w:u w:val="none"/>
        </w:rPr>
        <w:t>快速消费品、零售：</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百事可乐、费列罗、欧尚、申美饮料</w:t>
      </w:r>
    </w:p>
    <w:p>
      <w:pPr>
        <w:keepNext w:val="0"/>
        <w:keepLines w:val="0"/>
        <w:pageBreakBefore w:val="0"/>
        <w:widowControl w:val="0"/>
        <w:kinsoku/>
        <w:wordWrap/>
        <w:overflowPunct/>
        <w:topLinePunct w:val="0"/>
        <w:bidi w:val="0"/>
        <w:spacing w:line="400" w:lineRule="exact"/>
        <w:ind w:left="2096" w:hanging="2096"/>
        <w:textAlignment w:val="auto"/>
        <w:rPr>
          <w:rFonts w:hint="eastAsia" w:ascii="微软雅黑" w:hAnsi="微软雅黑" w:eastAsia="微软雅黑" w:cs="微软雅黑"/>
          <w:i w:val="0"/>
          <w:iCs w:val="0"/>
          <w:color w:val="0C0C0C"/>
          <w:sz w:val="21"/>
          <w:szCs w:val="21"/>
          <w:u w:val="none"/>
        </w:rPr>
      </w:pPr>
      <w:r>
        <w:rPr>
          <w:rFonts w:hint="eastAsia" w:ascii="微软雅黑" w:hAnsi="微软雅黑" w:eastAsia="微软雅黑" w:cs="微软雅黑"/>
          <w:b/>
          <w:i w:val="0"/>
          <w:iCs w:val="0"/>
          <w:color w:val="0C0C0C"/>
          <w:sz w:val="21"/>
          <w:szCs w:val="21"/>
          <w:u w:val="none"/>
        </w:rPr>
        <w:t>制药、化工、农业</w:t>
      </w:r>
      <w:r>
        <w:rPr>
          <w:rFonts w:hint="eastAsia" w:ascii="微软雅黑" w:hAnsi="微软雅黑" w:eastAsia="微软雅黑" w:cs="微软雅黑"/>
          <w:i w:val="0"/>
          <w:iCs w:val="0"/>
          <w:color w:val="0C0C0C"/>
          <w:sz w:val="21"/>
          <w:szCs w:val="21"/>
          <w:u w:val="none"/>
        </w:rPr>
        <w:t>：</w:t>
      </w:r>
      <w:r>
        <w:rPr>
          <w:rFonts w:hint="eastAsia" w:ascii="微软雅黑" w:hAnsi="微软雅黑" w:eastAsia="微软雅黑" w:cs="微软雅黑"/>
          <w:i w:val="0"/>
          <w:iCs w:val="0"/>
          <w:color w:val="0C0C0C"/>
          <w:sz w:val="21"/>
          <w:szCs w:val="21"/>
          <w:u w:val="none"/>
        </w:rPr>
        <w:tab/>
      </w:r>
      <w:r>
        <w:rPr>
          <w:rFonts w:hint="eastAsia" w:ascii="微软雅黑" w:hAnsi="微软雅黑" w:eastAsia="微软雅黑" w:cs="微软雅黑"/>
          <w:i w:val="0"/>
          <w:iCs w:val="0"/>
          <w:color w:val="0C0C0C"/>
          <w:sz w:val="21"/>
          <w:szCs w:val="21"/>
          <w:u w:val="none"/>
        </w:rPr>
        <w:t>朗盛集团、赛科石油、卡博特、邦吉集团</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color w:val="0C0C0C"/>
          <w:sz w:val="21"/>
          <w:szCs w:val="21"/>
          <w:u w:val="none"/>
        </w:rPr>
      </w:pPr>
      <w:r>
        <w:rPr>
          <w:rFonts w:hint="eastAsia" w:ascii="微软雅黑" w:hAnsi="微软雅黑" w:eastAsia="微软雅黑" w:cs="微软雅黑"/>
          <w:b/>
          <w:i w:val="0"/>
          <w:iCs w:val="0"/>
          <w:color w:val="0C0C0C"/>
          <w:sz w:val="21"/>
          <w:szCs w:val="21"/>
          <w:u w:val="none"/>
        </w:rPr>
        <w:t>咨询服务：</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长江商学院、智联招聘</w:t>
      </w:r>
    </w:p>
    <w:p>
      <w:pPr>
        <w:keepNext w:val="0"/>
        <w:keepLines w:val="0"/>
        <w:pageBreakBefore w:val="0"/>
        <w:widowControl w:val="0"/>
        <w:kinsoku/>
        <w:wordWrap/>
        <w:overflowPunct/>
        <w:topLinePunct w:val="0"/>
        <w:bidi w:val="0"/>
        <w:spacing w:line="400" w:lineRule="exact"/>
        <w:ind w:left="2100" w:hanging="2100"/>
        <w:textAlignment w:val="auto"/>
        <w:rPr>
          <w:rFonts w:hint="eastAsia" w:ascii="微软雅黑" w:hAnsi="微软雅黑" w:eastAsia="微软雅黑" w:cs="微软雅黑"/>
          <w:b/>
          <w:i w:val="0"/>
          <w:iCs w:val="0"/>
          <w:color w:val="0C0C0C"/>
          <w:sz w:val="21"/>
          <w:szCs w:val="21"/>
          <w:u w:val="none"/>
        </w:rPr>
      </w:pPr>
      <w:r>
        <w:rPr>
          <w:rFonts w:hint="eastAsia" w:ascii="微软雅黑" w:hAnsi="微软雅黑" w:eastAsia="微软雅黑" w:cs="微软雅黑"/>
          <w:b/>
          <w:i w:val="0"/>
          <w:iCs w:val="0"/>
          <w:color w:val="0C0C0C"/>
          <w:sz w:val="21"/>
          <w:szCs w:val="21"/>
          <w:u w:val="none"/>
        </w:rPr>
        <w:t>交通、物流：</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中海集团、中远化工物流、中远物流配送、天地华宇</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color w:val="0C0C0C"/>
          <w:sz w:val="21"/>
          <w:szCs w:val="21"/>
          <w:u w:val="none"/>
        </w:rPr>
      </w:pPr>
      <w:r>
        <w:rPr>
          <w:rFonts w:hint="eastAsia" w:ascii="微软雅黑" w:hAnsi="微软雅黑" w:eastAsia="微软雅黑" w:cs="微软雅黑"/>
          <w:b/>
          <w:i w:val="0"/>
          <w:iCs w:val="0"/>
          <w:color w:val="0C0C0C"/>
          <w:sz w:val="21"/>
          <w:szCs w:val="21"/>
          <w:u w:val="none"/>
        </w:rPr>
        <w:t>房地产：</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世贸集团、景瑞地产、阳光城集团</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i w:val="0"/>
          <w:iCs w:val="0"/>
          <w:color w:val="0C0C0C"/>
          <w:sz w:val="21"/>
          <w:szCs w:val="21"/>
          <w:u w:val="none"/>
        </w:rPr>
      </w:pPr>
      <w:r>
        <w:rPr>
          <w:rFonts w:hint="eastAsia" w:ascii="微软雅黑" w:hAnsi="微软雅黑" w:eastAsia="微软雅黑" w:cs="微软雅黑"/>
          <w:b/>
          <w:i w:val="0"/>
          <w:iCs w:val="0"/>
          <w:color w:val="0C0C0C"/>
          <w:sz w:val="21"/>
          <w:szCs w:val="21"/>
          <w:u w:val="none"/>
        </w:rPr>
        <w:t>服装：</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汤米费格（Tommy Hilfiger）、马克华菲</w:t>
      </w:r>
    </w:p>
    <w:p>
      <w:pPr>
        <w:keepNext w:val="0"/>
        <w:keepLines w:val="0"/>
        <w:pageBreakBefore w:val="0"/>
        <w:widowControl w:val="0"/>
        <w:kinsoku/>
        <w:wordWrap/>
        <w:overflowPunct/>
        <w:topLinePunct w:val="0"/>
        <w:bidi w:val="0"/>
        <w:spacing w:line="400" w:lineRule="exact"/>
        <w:ind w:left="2100" w:hanging="2100"/>
        <w:textAlignment w:val="auto"/>
        <w:rPr>
          <w:rFonts w:hint="eastAsia" w:ascii="微软雅黑" w:hAnsi="微软雅黑" w:eastAsia="微软雅黑" w:cs="微软雅黑"/>
          <w:i w:val="0"/>
          <w:iCs w:val="0"/>
          <w:color w:val="0C0C0C"/>
          <w:sz w:val="21"/>
          <w:szCs w:val="21"/>
          <w:u w:val="none"/>
        </w:rPr>
      </w:pPr>
      <w:r>
        <w:rPr>
          <w:rFonts w:hint="eastAsia" w:ascii="微软雅黑" w:hAnsi="微软雅黑" w:eastAsia="微软雅黑" w:cs="微软雅黑"/>
          <w:b/>
          <w:i w:val="0"/>
          <w:iCs w:val="0"/>
          <w:color w:val="0C0C0C"/>
          <w:sz w:val="21"/>
          <w:szCs w:val="21"/>
          <w:u w:val="none"/>
        </w:rPr>
        <w:t>其他：</w:t>
      </w:r>
      <w:r>
        <w:rPr>
          <w:rFonts w:hint="eastAsia" w:ascii="微软雅黑" w:hAnsi="微软雅黑" w:eastAsia="微软雅黑" w:cs="微软雅黑"/>
          <w:b/>
          <w:i w:val="0"/>
          <w:iCs w:val="0"/>
          <w:color w:val="0C0C0C"/>
          <w:sz w:val="21"/>
          <w:szCs w:val="21"/>
          <w:u w:val="none"/>
        </w:rPr>
        <w:tab/>
      </w:r>
      <w:r>
        <w:rPr>
          <w:rFonts w:hint="eastAsia" w:ascii="微软雅黑" w:hAnsi="微软雅黑" w:eastAsia="微软雅黑" w:cs="微软雅黑"/>
          <w:i w:val="0"/>
          <w:iCs w:val="0"/>
          <w:color w:val="0C0C0C"/>
          <w:sz w:val="21"/>
          <w:szCs w:val="21"/>
          <w:u w:val="none"/>
        </w:rPr>
        <w:t>伊藤忠商事、三井集团</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p>
    <w:p>
      <w:pPr>
        <w:keepNext w:val="0"/>
        <w:keepLines w:val="0"/>
        <w:pageBreakBefore w:val="0"/>
        <w:widowControl/>
        <w:kinsoku/>
        <w:wordWrap/>
        <w:overflowPunct/>
        <w:topLinePunct w:val="0"/>
        <w:autoSpaceDE/>
        <w:autoSpaceDN/>
        <w:bidi w:val="0"/>
        <w:adjustRightInd/>
        <w:snapToGrid/>
        <w:spacing w:before="313" w:beforeLines="10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165735" cy="173355"/>
            <wp:effectExtent l="0" t="0" r="5715" b="17145"/>
            <wp:wrapSquare wrapText="bothSides"/>
            <wp:docPr id="4" name="图片 4"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3b333633323435343bc8cb"/>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65735" cy="173355"/>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Name：</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2336" behindDoc="0" locked="0" layoutInCell="1" allowOverlap="1">
            <wp:simplePos x="0" y="0"/>
            <wp:positionH relativeFrom="column">
              <wp:posOffset>76200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Tel: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3360"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Mobil:（同微信）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4384"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Mail：</w:t>
      </w:r>
      <w:bookmarkStart w:id="2" w:name="_Hlk27470541"/>
      <w:bookmarkStart w:id="3" w:name="_Hlk27485291"/>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6"/>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bookmarkStart w:id="4" w:name="_GoBack"/>
            <w:bookmarkEnd w:id="4"/>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ind w:left="210"/>
              <w:jc w:val="lef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pPr>
        <w:spacing w:line="300" w:lineRule="exact"/>
        <w:jc w:val="left"/>
        <w:rPr>
          <w:rFonts w:hint="eastAsia" w:ascii="微软雅黑" w:hAnsi="微软雅黑" w:eastAsia="微软雅黑" w:cs="微软雅黑"/>
          <w:b/>
          <w:szCs w:val="21"/>
        </w:rPr>
      </w:pPr>
      <w:r>
        <w:rPr>
          <w:rFonts w:hint="eastAsia" w:ascii="微软雅黑" w:hAnsi="微软雅黑" w:eastAsia="微软雅黑" w:cs="微软雅黑"/>
          <w:b/>
          <w:szCs w:val="21"/>
        </w:rPr>
        <w:t>如您有企业内训需求，请与我们联系； 该表可复制</w:t>
      </w:r>
      <w:bookmarkEnd w:id="2"/>
      <w:bookmarkEnd w:id="3"/>
    </w:p>
    <w:p>
      <w:pPr>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pPr>
        <w:rPr>
          <w:rFonts w:hint="eastAsia" w:ascii="微软雅黑" w:hAnsi="微软雅黑" w:eastAsia="微软雅黑" w:cs="微软雅黑"/>
          <w:lang w:val="en-US" w:eastAsia="zh-CN"/>
        </w:rPr>
      </w:pPr>
    </w:p>
    <w:sectPr>
      <w:type w:val="continuous"/>
      <w:pgSz w:w="11906" w:h="16838"/>
      <w:pgMar w:top="0" w:right="1080" w:bottom="0" w:left="1080" w:header="567" w:footer="57"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0288"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pPr>
      <w:pStyle w:val="3"/>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r>
      <w:rPr>
        <w:rFonts w:hint="eastAsia" w:eastAsia="宋体"/>
        <w:lang w:eastAsia="zh-CN"/>
      </w:rPr>
      <w:drawing>
        <wp:anchor distT="0" distB="0" distL="114300" distR="114300" simplePos="0" relativeHeight="251661312" behindDoc="1" locked="0" layoutInCell="1" allowOverlap="1">
          <wp:simplePos x="0" y="0"/>
          <wp:positionH relativeFrom="column">
            <wp:posOffset>5514340</wp:posOffset>
          </wp:positionH>
          <wp:positionV relativeFrom="paragraph">
            <wp:posOffset>-8255</wp:posOffset>
          </wp:positionV>
          <wp:extent cx="657860" cy="427990"/>
          <wp:effectExtent l="0" t="0" r="8890" b="10160"/>
          <wp:wrapTight wrapText="bothSides">
            <wp:wrapPolygon>
              <wp:start x="0" y="0"/>
              <wp:lineTo x="0" y="21600"/>
              <wp:lineTo x="21600" y="21600"/>
              <wp:lineTo x="21600" y="0"/>
              <wp:lineTo x="0" y="0"/>
            </wp:wrapPolygon>
          </wp:wrapTight>
          <wp:docPr id="3" name="图片 3" descr="ASCM Partner Mark_Authorized_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SCM Partner Mark_Authorized_Training"/>
                  <pic:cNvPicPr>
                    <a:picLocks noChangeAspect="1"/>
                  </pic:cNvPicPr>
                </pic:nvPicPr>
                <pic:blipFill>
                  <a:blip r:embed="rId2"/>
                  <a:stretch>
                    <a:fillRect/>
                  </a:stretch>
                </pic:blipFill>
                <pic:spPr>
                  <a:xfrm>
                    <a:off x="0" y="0"/>
                    <a:ext cx="657860" cy="427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24D42"/>
    <w:multiLevelType w:val="singleLevel"/>
    <w:tmpl w:val="8F024D42"/>
    <w:lvl w:ilvl="0" w:tentative="0">
      <w:start w:val="1"/>
      <w:numFmt w:val="decimal"/>
      <w:lvlText w:val="%1."/>
      <w:lvlJc w:val="left"/>
      <w:pPr>
        <w:ind w:left="425" w:hanging="425"/>
      </w:pPr>
      <w:rPr>
        <w:rFonts w:hint="default"/>
      </w:rPr>
    </w:lvl>
  </w:abstractNum>
  <w:abstractNum w:abstractNumId="1">
    <w:nsid w:val="EA6E547D"/>
    <w:multiLevelType w:val="singleLevel"/>
    <w:tmpl w:val="EA6E547D"/>
    <w:lvl w:ilvl="0" w:tentative="0">
      <w:start w:val="1"/>
      <w:numFmt w:val="decimal"/>
      <w:lvlText w:val="%1."/>
      <w:lvlJc w:val="left"/>
      <w:pPr>
        <w:ind w:left="425" w:hanging="425"/>
      </w:pPr>
      <w:rPr>
        <w:rFonts w:hint="default"/>
      </w:rPr>
    </w:lvl>
  </w:abstractNum>
  <w:abstractNum w:abstractNumId="2">
    <w:nsid w:val="F140A76C"/>
    <w:multiLevelType w:val="singleLevel"/>
    <w:tmpl w:val="F140A76C"/>
    <w:lvl w:ilvl="0" w:tentative="0">
      <w:start w:val="1"/>
      <w:numFmt w:val="decimal"/>
      <w:lvlText w:val="%1."/>
      <w:lvlJc w:val="left"/>
      <w:pPr>
        <w:ind w:left="425" w:hanging="425"/>
      </w:pPr>
      <w:rPr>
        <w:rFonts w:hint="default"/>
      </w:rPr>
    </w:lvl>
  </w:abstractNum>
  <w:abstractNum w:abstractNumId="3">
    <w:nsid w:val="08356044"/>
    <w:multiLevelType w:val="singleLevel"/>
    <w:tmpl w:val="08356044"/>
    <w:lvl w:ilvl="0" w:tentative="0">
      <w:start w:val="1"/>
      <w:numFmt w:val="decimal"/>
      <w:lvlText w:val="%1."/>
      <w:lvlJc w:val="left"/>
      <w:pPr>
        <w:ind w:left="425" w:hanging="425"/>
      </w:pPr>
      <w:rPr>
        <w:rFonts w:hint="default"/>
      </w:rPr>
    </w:lvl>
  </w:abstractNum>
  <w:abstractNum w:abstractNumId="4">
    <w:nsid w:val="3F8456DE"/>
    <w:multiLevelType w:val="singleLevel"/>
    <w:tmpl w:val="3F8456DE"/>
    <w:lvl w:ilvl="0" w:tentative="0">
      <w:start w:val="1"/>
      <w:numFmt w:val="decimal"/>
      <w:lvlText w:val="%1."/>
      <w:lvlJc w:val="left"/>
      <w:pPr>
        <w:ind w:left="425" w:hanging="425"/>
      </w:pPr>
      <w:rPr>
        <w:rFonts w:hint="default"/>
      </w:rPr>
    </w:lvl>
  </w:abstractNum>
  <w:abstractNum w:abstractNumId="5">
    <w:nsid w:val="4CE458ED"/>
    <w:multiLevelType w:val="singleLevel"/>
    <w:tmpl w:val="4CE458ED"/>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32209"/>
    <w:rsid w:val="04E645E8"/>
    <w:rsid w:val="0A6F0A89"/>
    <w:rsid w:val="10E91628"/>
    <w:rsid w:val="12532209"/>
    <w:rsid w:val="138767A8"/>
    <w:rsid w:val="1BCB302C"/>
    <w:rsid w:val="1CDD5EAD"/>
    <w:rsid w:val="1FDB4E8A"/>
    <w:rsid w:val="244662C7"/>
    <w:rsid w:val="2A9C1216"/>
    <w:rsid w:val="33141748"/>
    <w:rsid w:val="3FE76D5D"/>
    <w:rsid w:val="418038F5"/>
    <w:rsid w:val="4B9C7588"/>
    <w:rsid w:val="4D402F0C"/>
    <w:rsid w:val="4EAA4251"/>
    <w:rsid w:val="51BA5C7F"/>
    <w:rsid w:val="5509696D"/>
    <w:rsid w:val="5C180C4C"/>
    <w:rsid w:val="60BA2D13"/>
    <w:rsid w:val="64566B02"/>
    <w:rsid w:val="64DF0625"/>
    <w:rsid w:val="6B091A3B"/>
    <w:rsid w:val="724A32B7"/>
    <w:rsid w:val="76D83018"/>
    <w:rsid w:val="76ED7D45"/>
    <w:rsid w:val="77B75C18"/>
    <w:rsid w:val="78EA0CEC"/>
    <w:rsid w:val="793F3FF5"/>
    <w:rsid w:val="79967556"/>
    <w:rsid w:val="7C503F7A"/>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locked/>
    <w:uiPriority w:val="0"/>
    <w:pPr>
      <w:tabs>
        <w:tab w:val="center" w:pos="4153"/>
        <w:tab w:val="right" w:pos="8306"/>
      </w:tabs>
      <w:snapToGrid w:val="0"/>
      <w:jc w:val="left"/>
    </w:pPr>
    <w:rPr>
      <w:sz w:val="18"/>
    </w:rPr>
  </w:style>
  <w:style w:type="paragraph" w:styleId="4">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qFormat/>
    <w:uiPriority w:val="99"/>
  </w:style>
  <w:style w:type="character" w:styleId="11">
    <w:name w:val="Hyperlink"/>
    <w:basedOn w:val="8"/>
    <w:qFormat/>
    <w:uiPriority w:val="0"/>
    <w:rPr>
      <w:color w:val="0000FF"/>
      <w:u w:val="single"/>
    </w:rPr>
  </w:style>
  <w:style w:type="character" w:customStyle="1" w:styleId="12">
    <w:name w:val="style9"/>
    <w:basedOn w:val="8"/>
    <w:qFormat/>
    <w:uiPriority w:val="0"/>
  </w:style>
  <w:style w:type="paragraph"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pPr>
  </w:style>
  <w:style w:type="paragraph" w:customStyle="1" w:styleId="15">
    <w:name w:val="列出段落11"/>
    <w:basedOn w:val="1"/>
    <w:qFormat/>
    <w:uiPriority w:val="34"/>
    <w:pPr>
      <w:ind w:firstLine="420" w:firstLineChars="200"/>
    </w:pPr>
    <w:rPr>
      <w:rFonts w:ascii="Calibri" w:hAnsi="Calibri" w:eastAsia="宋体" w:cs="Times New Roman"/>
    </w:rPr>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svg"/><Relationship Id="rId8" Type="http://schemas.openxmlformats.org/officeDocument/2006/relationships/image" Target="media/image5.png"/><Relationship Id="rId7" Type="http://schemas.openxmlformats.org/officeDocument/2006/relationships/image" Target="media/image1.sv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svg"/><Relationship Id="rId14" Type="http://schemas.openxmlformats.org/officeDocument/2006/relationships/image" Target="media/image8.png"/><Relationship Id="rId13" Type="http://schemas.openxmlformats.org/officeDocument/2006/relationships/image" Target="media/image4.svg"/><Relationship Id="rId12" Type="http://schemas.openxmlformats.org/officeDocument/2006/relationships/image" Target="media/image7.png"/><Relationship Id="rId11" Type="http://schemas.openxmlformats.org/officeDocument/2006/relationships/image" Target="media/image3.sv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洁</cp:lastModifiedBy>
  <dcterms:modified xsi:type="dcterms:W3CDTF">2021-10-28T01:43:31Z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B7C6BD9DEE03404383C3C76B3E463F7A</vt:lpwstr>
  </property>
</Properties>
</file>