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3C11" w14:textId="1B4E9F72" w:rsidR="005A4A72" w:rsidRPr="005A4A72" w:rsidRDefault="005A4A72" w:rsidP="005A4A72">
      <w:pPr>
        <w:ind w:firstLineChars="400" w:firstLine="1440"/>
        <w:rPr>
          <w:rFonts w:ascii="微软雅黑" w:eastAsia="微软雅黑" w:hAnsi="微软雅黑"/>
          <w:b/>
          <w:bCs/>
          <w:color w:val="C00000"/>
          <w:sz w:val="28"/>
          <w:szCs w:val="28"/>
        </w:rPr>
      </w:pPr>
      <w:r w:rsidRPr="005A4A72">
        <w:rPr>
          <w:rFonts w:ascii="微软雅黑" w:eastAsia="微软雅黑" w:hAnsi="微软雅黑" w:hint="eastAsia"/>
          <w:b/>
          <w:bCs/>
          <w:color w:val="C00000"/>
          <w:sz w:val="36"/>
          <w:szCs w:val="36"/>
        </w:rPr>
        <w:t>供应链S&amp;OP生产计划与物料控制PMC</w:t>
      </w:r>
      <w:r w:rsidRPr="005A4A72">
        <w:rPr>
          <w:rFonts w:ascii="微软雅黑" w:eastAsia="微软雅黑" w:hAnsi="微软雅黑"/>
          <w:b/>
          <w:bCs/>
          <w:noProof/>
          <w:color w:val="C00000"/>
          <w:sz w:val="30"/>
          <w:szCs w:val="30"/>
        </w:rPr>
        <mc:AlternateContent>
          <mc:Choice Requires="wps">
            <w:drawing>
              <wp:anchor distT="0" distB="0" distL="114300" distR="114300" simplePos="0" relativeHeight="251677696" behindDoc="0" locked="0" layoutInCell="1" allowOverlap="1" wp14:anchorId="32884BF3" wp14:editId="31D6855E">
                <wp:simplePos x="0" y="0"/>
                <wp:positionH relativeFrom="margin">
                  <wp:posOffset>2657475</wp:posOffset>
                </wp:positionH>
                <wp:positionV relativeFrom="margin">
                  <wp:posOffset>10346690</wp:posOffset>
                </wp:positionV>
                <wp:extent cx="2332355" cy="240665"/>
                <wp:effectExtent l="0" t="0" r="4445" b="13335"/>
                <wp:wrapSquare wrapText="bothSides"/>
                <wp:docPr id="20"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48DC43B" id="矩形 1" o:spid="_x0000_s1026" style="position:absolute;left:0;text-align:left;margin-left:209.25pt;margin-top:814.7pt;width:183.65pt;height:18.95pt;z-index:251677696;visibility:visible;mso-wrap-style:square;mso-wrap-distance-left:9pt;mso-wrap-distance-top:0;mso-wrap-distance-right:9pt;mso-wrap-distance-bottom:0;mso-position-horizontal:absolute;mso-position-horizontal-relative:margin;mso-position-vertical:absolute;mso-position-vertical-relative:margin;v-text-anchor:middle" coordsize="2332355,2406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" path="m194949,l2183824,r148531,240665l,240665,194949,xe" fillcolor="#4c5c74" stroked="f" strokeweight="1pt">
                <v:stroke joinstyle="miter"/>
                <v:path arrowok="t" o:connecttype="custom" o:connectlocs="194949,0;2183824,0;2332355,240665;0,240665;194949,0" o:connectangles="0,0,0,0,0"/>
                <w10:wrap type="square" anchorx="margin" anchory="margin"/>
              </v:shape>
            </w:pict>
          </mc:Fallback>
        </mc:AlternateContent>
      </w:r>
      <w:r w:rsidRPr="005A4A72">
        <w:rPr>
          <w:rFonts w:ascii="微软雅黑" w:eastAsia="微软雅黑" w:hAnsi="微软雅黑"/>
          <w:b/>
          <w:bCs/>
          <w:noProof/>
          <w:color w:val="C00000"/>
          <w:sz w:val="30"/>
          <w:szCs w:val="30"/>
        </w:rPr>
        <mc:AlternateContent>
          <mc:Choice Requires="wps">
            <w:drawing>
              <wp:anchor distT="0" distB="0" distL="114300" distR="114300" simplePos="0" relativeHeight="251676672" behindDoc="0" locked="0" layoutInCell="1" allowOverlap="1" wp14:anchorId="0DC72F32" wp14:editId="2D6A4A4C">
                <wp:simplePos x="0" y="0"/>
                <wp:positionH relativeFrom="column">
                  <wp:posOffset>0</wp:posOffset>
                </wp:positionH>
                <wp:positionV relativeFrom="paragraph">
                  <wp:posOffset>10514330</wp:posOffset>
                </wp:positionV>
                <wp:extent cx="7559675" cy="186055"/>
                <wp:effectExtent l="0" t="0" r="9525" b="18415"/>
                <wp:wrapNone/>
                <wp:docPr id="19"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a:noFill/>
                        </a:ln>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1FA0E6C" w14:textId="77777777" w:rsidR="005A4A72" w:rsidRDefault="005A4A72" w:rsidP="005A4A7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DC72F32" id="矩形 18" o:spid="_x0000_s1026" style="position:absolute;left:0;text-align:left;margin-left:0;margin-top:827.9pt;width:595.25pt;height:14.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" fillcolor="#44546b" stroked="f" strokeweight="1pt">
                <v:textbox>
                  <w:txbxContent>
                    <w:p w14:paraId="51FA0E6C" w14:textId="77777777" w:rsidR="005A4A72" w:rsidRDefault="005A4A72" w:rsidP="005A4A72">
                      <w:pPr>
                        <w:jc w:val="center"/>
                      </w:pPr>
                    </w:p>
                  </w:txbxContent>
                </v:textbox>
              </v:rect>
            </w:pict>
          </mc:Fallback>
        </mc:AlternateContent>
      </w:r>
      <w:r w:rsidRPr="005A4A72">
        <w:rPr>
          <w:rFonts w:ascii="微软雅黑" w:eastAsia="微软雅黑" w:hAnsi="微软雅黑" w:hint="eastAsia"/>
          <w:b/>
          <w:bCs/>
          <w:color w:val="C00000"/>
          <w:sz w:val="30"/>
          <w:szCs w:val="30"/>
        </w:rPr>
        <w:t>（2天）</w:t>
      </w:r>
    </w:p>
    <w:p w14:paraId="7720EF19" w14:textId="2E68EAD0" w:rsidR="005C4E00" w:rsidRPr="005A4A72" w:rsidRDefault="005A4A72" w:rsidP="00401FB8">
      <w:pPr>
        <w:jc w:val="center"/>
        <w:rPr>
          <w:rFonts w:ascii="微软雅黑" w:eastAsia="微软雅黑" w:hAnsi="微软雅黑"/>
          <w:b/>
          <w:bCs/>
          <w:color w:val="C00000"/>
          <w:sz w:val="28"/>
          <w:szCs w:val="28"/>
        </w:rPr>
      </w:pPr>
      <w:r>
        <w:rPr>
          <w:rFonts w:ascii="微软雅黑" w:eastAsia="微软雅黑" w:hAnsi="微软雅黑"/>
          <w:b/>
          <w:bCs/>
          <w:color w:val="C00000"/>
          <w:sz w:val="28"/>
          <w:szCs w:val="28"/>
        </w:rPr>
        <w:t>-------</w:t>
      </w:r>
      <w:r w:rsidR="002D1F68" w:rsidRPr="005A4A72">
        <w:rPr>
          <w:rFonts w:ascii="微软雅黑" w:eastAsia="微软雅黑" w:hAnsi="微软雅黑" w:hint="eastAsia"/>
          <w:b/>
          <w:bCs/>
          <w:color w:val="C00000"/>
          <w:sz w:val="28"/>
          <w:szCs w:val="28"/>
        </w:rPr>
        <w:t>PMC</w:t>
      </w:r>
      <w:r w:rsidR="00C54DA0" w:rsidRPr="005A4A72">
        <w:rPr>
          <w:rFonts w:ascii="微软雅黑" w:eastAsia="微软雅黑" w:hAnsi="微软雅黑" w:hint="eastAsia"/>
          <w:b/>
          <w:bCs/>
          <w:color w:val="C00000"/>
          <w:sz w:val="28"/>
          <w:szCs w:val="28"/>
        </w:rPr>
        <w:t>需求预测、生产计划与物料控制</w:t>
      </w:r>
    </w:p>
    <w:p w14:paraId="30C4F090" w14:textId="77777777" w:rsidR="0055517B" w:rsidRPr="00D20CBB" w:rsidRDefault="0055517B" w:rsidP="0055517B">
      <w:pPr>
        <w:tabs>
          <w:tab w:val="left" w:pos="2016"/>
        </w:tabs>
        <w:jc w:val="left"/>
        <w:rPr>
          <w:sz w:val="20"/>
          <w:szCs w:val="20"/>
        </w:rPr>
      </w:pPr>
      <w:r w:rsidRPr="00D20CBB">
        <w:rPr>
          <w:noProof/>
          <w:sz w:val="20"/>
          <w:szCs w:val="20"/>
        </w:rPr>
        <mc:AlternateContent>
          <mc:Choice Requires="wpg">
            <w:drawing>
              <wp:anchor distT="0" distB="0" distL="114300" distR="114300" simplePos="0" relativeHeight="251667456" behindDoc="0" locked="0" layoutInCell="1" allowOverlap="1" wp14:anchorId="15952D5D" wp14:editId="16F9F8D1">
                <wp:simplePos x="0" y="0"/>
                <wp:positionH relativeFrom="column">
                  <wp:posOffset>-36195</wp:posOffset>
                </wp:positionH>
                <wp:positionV relativeFrom="paragraph">
                  <wp:posOffset>226060</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323A956A" id="组合 7" o:spid="_x0000_s1026" style="position:absolute;left:0;text-align:left;margin-left:-2.85pt;margin-top:17.8pt;width:13.65pt;height:13.65pt;z-index:25166745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p>
    <w:p w14:paraId="7E79D844" w14:textId="56519296" w:rsidR="00AE19B9" w:rsidRPr="00AE19B9" w:rsidRDefault="0055517B" w:rsidP="00AE19B9">
      <w:pPr>
        <w:adjustRightInd w:val="0"/>
        <w:snapToGrid w:val="0"/>
        <w:spacing w:line="360" w:lineRule="auto"/>
        <w:ind w:leftChars="202" w:left="424"/>
        <w:jc w:val="left"/>
        <w:rPr>
          <w:rFonts w:ascii="Arial" w:eastAsia="微软雅黑" w:hAnsi="Arial" w:cs="Arial"/>
          <w:bCs/>
          <w:sz w:val="20"/>
          <w:szCs w:val="20"/>
        </w:rPr>
      </w:pP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00AE19B9">
        <w:rPr>
          <w:rFonts w:ascii="微软雅黑" w:eastAsia="微软雅黑" w:hAnsi="微软雅黑" w:hint="eastAsia"/>
          <w:b/>
          <w:bCs/>
          <w:sz w:val="20"/>
          <w:szCs w:val="20"/>
        </w:rPr>
        <w:t>上海：</w:t>
      </w:r>
      <w:r w:rsidR="00683B42" w:rsidRPr="002D1F68">
        <w:rPr>
          <w:rFonts w:ascii="Arial" w:eastAsia="微软雅黑" w:hAnsi="Arial" w:cs="Arial"/>
          <w:bCs/>
          <w:sz w:val="20"/>
          <w:szCs w:val="20"/>
        </w:rPr>
        <w:t>202</w:t>
      </w:r>
      <w:r w:rsidR="00F83E43" w:rsidRPr="002D1F68">
        <w:rPr>
          <w:rFonts w:ascii="Arial" w:eastAsia="微软雅黑" w:hAnsi="Arial" w:cs="Arial"/>
          <w:bCs/>
          <w:sz w:val="20"/>
          <w:szCs w:val="20"/>
        </w:rPr>
        <w:t>2</w:t>
      </w:r>
      <w:r w:rsidR="00683B42" w:rsidRPr="002D1F68">
        <w:rPr>
          <w:rFonts w:ascii="Arial" w:eastAsia="微软雅黑" w:hAnsi="Arial" w:cs="Arial"/>
          <w:bCs/>
          <w:sz w:val="20"/>
          <w:szCs w:val="20"/>
        </w:rPr>
        <w:t>年</w:t>
      </w:r>
      <w:r w:rsidR="00AE19B9" w:rsidRPr="00AE19B9">
        <w:rPr>
          <w:rFonts w:ascii="Arial" w:eastAsia="微软雅黑" w:hAnsi="Arial" w:cs="Arial" w:hint="eastAsia"/>
          <w:bCs/>
          <w:sz w:val="20"/>
          <w:szCs w:val="20"/>
        </w:rPr>
        <w:t>3</w:t>
      </w:r>
      <w:r w:rsidR="00AE19B9" w:rsidRPr="00AE19B9">
        <w:rPr>
          <w:rFonts w:ascii="Arial" w:eastAsia="微软雅黑" w:hAnsi="Arial" w:cs="Arial" w:hint="eastAsia"/>
          <w:bCs/>
          <w:sz w:val="20"/>
          <w:szCs w:val="20"/>
        </w:rPr>
        <w:t>月</w:t>
      </w:r>
      <w:r w:rsidR="00AE19B9" w:rsidRPr="00AE19B9">
        <w:rPr>
          <w:rFonts w:ascii="Arial" w:eastAsia="微软雅黑" w:hAnsi="Arial" w:cs="Arial" w:hint="eastAsia"/>
          <w:bCs/>
          <w:sz w:val="20"/>
          <w:szCs w:val="20"/>
        </w:rPr>
        <w:t>24-25</w:t>
      </w:r>
      <w:r w:rsidR="00AE19B9">
        <w:rPr>
          <w:rFonts w:ascii="Arial" w:eastAsia="微软雅黑" w:hAnsi="Arial" w:cs="Arial" w:hint="eastAsia"/>
          <w:bCs/>
          <w:sz w:val="20"/>
          <w:szCs w:val="20"/>
        </w:rPr>
        <w:t>、</w:t>
      </w:r>
      <w:r w:rsidR="00AE19B9" w:rsidRPr="00AE19B9">
        <w:rPr>
          <w:rFonts w:ascii="Arial" w:eastAsia="微软雅黑" w:hAnsi="Arial" w:cs="Arial" w:hint="eastAsia"/>
          <w:bCs/>
          <w:sz w:val="20"/>
          <w:szCs w:val="20"/>
        </w:rPr>
        <w:t>6</w:t>
      </w:r>
      <w:r w:rsidR="00AE19B9" w:rsidRPr="00AE19B9">
        <w:rPr>
          <w:rFonts w:ascii="Arial" w:eastAsia="微软雅黑" w:hAnsi="Arial" w:cs="Arial" w:hint="eastAsia"/>
          <w:bCs/>
          <w:sz w:val="20"/>
          <w:szCs w:val="20"/>
        </w:rPr>
        <w:t>月</w:t>
      </w:r>
      <w:r w:rsidR="00AE19B9" w:rsidRPr="00AE19B9">
        <w:rPr>
          <w:rFonts w:ascii="Arial" w:eastAsia="微软雅黑" w:hAnsi="Arial" w:cs="Arial" w:hint="eastAsia"/>
          <w:bCs/>
          <w:sz w:val="20"/>
          <w:szCs w:val="20"/>
        </w:rPr>
        <w:t>23-24</w:t>
      </w:r>
      <w:r w:rsidR="00AE19B9">
        <w:rPr>
          <w:rFonts w:ascii="Arial" w:eastAsia="微软雅黑" w:hAnsi="Arial" w:cs="Arial" w:hint="eastAsia"/>
          <w:bCs/>
          <w:sz w:val="20"/>
          <w:szCs w:val="20"/>
        </w:rPr>
        <w:t>、</w:t>
      </w:r>
      <w:r w:rsidR="00AE19B9" w:rsidRPr="00AE19B9">
        <w:rPr>
          <w:rFonts w:ascii="微软雅黑" w:eastAsia="微软雅黑" w:hAnsi="微软雅黑" w:hint="eastAsia"/>
          <w:sz w:val="20"/>
          <w:szCs w:val="20"/>
        </w:rPr>
        <w:t>8</w:t>
      </w:r>
      <w:r w:rsidR="00AE19B9" w:rsidRPr="00AE19B9">
        <w:rPr>
          <w:rFonts w:ascii="Arial" w:eastAsia="微软雅黑" w:hAnsi="Arial" w:cs="Arial" w:hint="eastAsia"/>
          <w:sz w:val="20"/>
          <w:szCs w:val="20"/>
        </w:rPr>
        <w:t>月</w:t>
      </w:r>
      <w:r w:rsidR="00AE19B9" w:rsidRPr="00AE19B9">
        <w:rPr>
          <w:rFonts w:ascii="Arial" w:eastAsia="微软雅黑" w:hAnsi="Arial" w:cs="Arial" w:hint="eastAsia"/>
          <w:sz w:val="20"/>
          <w:szCs w:val="20"/>
        </w:rPr>
        <w:t>25-26</w:t>
      </w:r>
      <w:r w:rsidR="00AE19B9">
        <w:rPr>
          <w:rFonts w:ascii="Arial" w:eastAsia="微软雅黑" w:hAnsi="Arial" w:cs="Arial" w:hint="eastAsia"/>
          <w:sz w:val="20"/>
          <w:szCs w:val="20"/>
        </w:rPr>
        <w:t>、</w:t>
      </w:r>
      <w:r w:rsidR="00AE19B9" w:rsidRPr="00AE19B9">
        <w:rPr>
          <w:rFonts w:ascii="Arial" w:eastAsia="微软雅黑" w:hAnsi="Arial" w:cs="Arial" w:hint="eastAsia"/>
          <w:sz w:val="20"/>
          <w:szCs w:val="20"/>
        </w:rPr>
        <w:t>11</w:t>
      </w:r>
      <w:r w:rsidR="00AE19B9" w:rsidRPr="00AE19B9">
        <w:rPr>
          <w:rFonts w:ascii="Arial" w:eastAsia="微软雅黑" w:hAnsi="Arial" w:cs="Arial" w:hint="eastAsia"/>
          <w:sz w:val="20"/>
          <w:szCs w:val="20"/>
        </w:rPr>
        <w:t>月</w:t>
      </w:r>
      <w:r w:rsidR="00AE19B9" w:rsidRPr="00AE19B9">
        <w:rPr>
          <w:rFonts w:ascii="Arial" w:eastAsia="微软雅黑" w:hAnsi="Arial" w:cs="Arial" w:hint="eastAsia"/>
          <w:sz w:val="20"/>
          <w:szCs w:val="20"/>
        </w:rPr>
        <w:t>24-25</w:t>
      </w:r>
    </w:p>
    <w:p w14:paraId="0E4DA054" w14:textId="00D9157F" w:rsidR="00683B42" w:rsidRDefault="00AE19B9" w:rsidP="00AE19B9">
      <w:pPr>
        <w:adjustRightInd w:val="0"/>
        <w:snapToGrid w:val="0"/>
        <w:spacing w:line="360" w:lineRule="auto"/>
        <w:ind w:leftChars="202" w:left="424" w:firstLineChars="500" w:firstLine="1000"/>
        <w:jc w:val="left"/>
        <w:rPr>
          <w:rFonts w:ascii="微软雅黑" w:eastAsia="微软雅黑" w:hAnsi="微软雅黑"/>
          <w:bCs/>
          <w:sz w:val="20"/>
          <w:szCs w:val="20"/>
        </w:rPr>
      </w:pPr>
      <w:r w:rsidRPr="00AE19B9">
        <w:rPr>
          <w:rFonts w:ascii="微软雅黑" w:eastAsia="微软雅黑" w:hAnsi="微软雅黑" w:hint="eastAsia"/>
          <w:b/>
          <w:bCs/>
          <w:sz w:val="20"/>
          <w:szCs w:val="20"/>
        </w:rPr>
        <w:t>深圳：</w:t>
      </w:r>
      <w:r w:rsidRPr="00AE19B9">
        <w:rPr>
          <w:rFonts w:ascii="Arial" w:eastAsia="微软雅黑" w:hAnsi="Arial" w:cs="Arial" w:hint="eastAsia"/>
          <w:bCs/>
          <w:sz w:val="20"/>
          <w:szCs w:val="20"/>
        </w:rPr>
        <w:t>5</w:t>
      </w:r>
      <w:r w:rsidRPr="00AE19B9">
        <w:rPr>
          <w:rFonts w:ascii="Arial" w:eastAsia="微软雅黑" w:hAnsi="Arial" w:cs="Arial" w:hint="eastAsia"/>
          <w:bCs/>
          <w:sz w:val="20"/>
          <w:szCs w:val="20"/>
        </w:rPr>
        <w:t>月</w:t>
      </w:r>
      <w:r w:rsidRPr="00AE19B9">
        <w:rPr>
          <w:rFonts w:ascii="Arial" w:eastAsia="微软雅黑" w:hAnsi="Arial" w:cs="Arial" w:hint="eastAsia"/>
          <w:bCs/>
          <w:sz w:val="20"/>
          <w:szCs w:val="20"/>
        </w:rPr>
        <w:t>25-26</w:t>
      </w:r>
      <w:r w:rsidRPr="00AE19B9">
        <w:rPr>
          <w:rFonts w:ascii="Arial" w:eastAsia="微软雅黑" w:hAnsi="Arial" w:cs="Arial" w:hint="eastAsia"/>
          <w:bCs/>
          <w:sz w:val="20"/>
          <w:szCs w:val="20"/>
        </w:rPr>
        <w:t>、</w:t>
      </w:r>
      <w:r w:rsidRPr="00AE19B9">
        <w:rPr>
          <w:rFonts w:ascii="Arial" w:eastAsia="微软雅黑" w:hAnsi="Arial" w:cs="Arial" w:hint="eastAsia"/>
          <w:bCs/>
          <w:sz w:val="20"/>
          <w:szCs w:val="20"/>
        </w:rPr>
        <w:t>7</w:t>
      </w:r>
      <w:r w:rsidRPr="00AE19B9">
        <w:rPr>
          <w:rFonts w:ascii="Arial" w:eastAsia="微软雅黑" w:hAnsi="Arial" w:cs="Arial" w:hint="eastAsia"/>
          <w:bCs/>
          <w:sz w:val="20"/>
          <w:szCs w:val="20"/>
        </w:rPr>
        <w:t>月</w:t>
      </w:r>
      <w:r w:rsidRPr="00AE19B9">
        <w:rPr>
          <w:rFonts w:ascii="Arial" w:eastAsia="微软雅黑" w:hAnsi="Arial" w:cs="Arial" w:hint="eastAsia"/>
          <w:bCs/>
          <w:sz w:val="20"/>
          <w:szCs w:val="20"/>
        </w:rPr>
        <w:t>21-22</w:t>
      </w:r>
      <w:r>
        <w:rPr>
          <w:rFonts w:ascii="Arial" w:eastAsia="微软雅黑" w:hAnsi="Arial" w:cs="Arial" w:hint="eastAsia"/>
          <w:bCs/>
          <w:sz w:val="20"/>
          <w:szCs w:val="20"/>
        </w:rPr>
        <w:t>、</w:t>
      </w:r>
      <w:r w:rsidRPr="00AE19B9">
        <w:rPr>
          <w:rFonts w:ascii="Arial" w:eastAsia="微软雅黑" w:hAnsi="Arial" w:cs="Arial" w:hint="eastAsia"/>
          <w:bCs/>
          <w:sz w:val="20"/>
          <w:szCs w:val="20"/>
        </w:rPr>
        <w:t>12</w:t>
      </w:r>
      <w:r w:rsidRPr="00AE19B9">
        <w:rPr>
          <w:rFonts w:ascii="Arial" w:eastAsia="微软雅黑" w:hAnsi="Arial" w:cs="Arial" w:hint="eastAsia"/>
          <w:bCs/>
          <w:sz w:val="20"/>
          <w:szCs w:val="20"/>
        </w:rPr>
        <w:t>月</w:t>
      </w:r>
      <w:r w:rsidRPr="00AE19B9">
        <w:rPr>
          <w:rFonts w:ascii="Arial" w:eastAsia="微软雅黑" w:hAnsi="Arial" w:cs="Arial" w:hint="eastAsia"/>
          <w:bCs/>
          <w:sz w:val="20"/>
          <w:szCs w:val="20"/>
        </w:rPr>
        <w:t>8-9</w:t>
      </w:r>
    </w:p>
    <w:p w14:paraId="530C6C17" w14:textId="5A2A67A2" w:rsidR="0055517B" w:rsidRPr="00D20CBB" w:rsidRDefault="00AE19B9" w:rsidP="004F081E">
      <w:pPr>
        <w:tabs>
          <w:tab w:val="left" w:pos="7320"/>
        </w:tabs>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1552" behindDoc="0" locked="0" layoutInCell="1" allowOverlap="1" wp14:anchorId="0ECB2DF7" wp14:editId="21548598">
                <wp:simplePos x="0" y="0"/>
                <wp:positionH relativeFrom="column">
                  <wp:posOffset>-9525</wp:posOffset>
                </wp:positionH>
                <wp:positionV relativeFrom="paragraph">
                  <wp:posOffset>43815</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1344C0DF" id="组合 84" o:spid="_x0000_s1026" style="position:absolute;left:0;text-align:left;margin-left:-.75pt;margin-top:3.45pt;width:13.65pt;height:13.65pt;z-index:251671552" coordsize="173355,173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">
                <v:oval id="椭圆 13" o:spid="_x0000_s1027" style="position:absolute;width:173355;height:173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" fillcolor="#c00000" stroked="f" strokeweight="2pt"/>
                <v:shape id="Freeform 148" o:spid="_x0000_s1028" style="position:absolute;left:19634;top:39269;width:129026;height:104669;visibility:visible;mso-wrap-style:square;v-text-anchor:top" coordsize="228,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&#13;&#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0055517B" w:rsidRPr="00D20CBB">
        <w:rPr>
          <w:rFonts w:ascii="微软雅黑" w:eastAsia="微软雅黑" w:hAnsi="微软雅黑" w:hint="eastAsia"/>
          <w:b/>
          <w:sz w:val="20"/>
          <w:szCs w:val="20"/>
        </w:rPr>
        <w:t>参加对象：</w:t>
      </w:r>
      <w:r w:rsidR="00E84098" w:rsidRPr="005737FF">
        <w:rPr>
          <w:rFonts w:ascii="微软雅黑" w:eastAsia="微软雅黑" w:hAnsi="微软雅黑"/>
          <w:bCs/>
          <w:sz w:val="20"/>
          <w:szCs w:val="20"/>
        </w:rPr>
        <w:t>预测和计划、生产管理、物料控制、采购、供应链管理等部门的专业人士</w:t>
      </w:r>
      <w:r w:rsidR="004F081E">
        <w:rPr>
          <w:rFonts w:ascii="微软雅黑" w:eastAsia="微软雅黑" w:hAnsi="微软雅黑"/>
          <w:bCs/>
          <w:sz w:val="20"/>
          <w:szCs w:val="20"/>
        </w:rPr>
        <w:tab/>
      </w:r>
    </w:p>
    <w:p w14:paraId="1E9B8354" w14:textId="1A445628"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0DA61796" wp14:editId="37E3836D">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DE48A63"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1606E1">
        <w:rPr>
          <w:rFonts w:ascii="微软雅黑" w:eastAsia="微软雅黑" w:hAnsi="微软雅黑" w:hint="eastAsia"/>
          <w:bCs/>
          <w:kern w:val="0"/>
          <w:sz w:val="20"/>
          <w:szCs w:val="20"/>
        </w:rPr>
        <w:t>¥</w:t>
      </w:r>
      <w:r w:rsidR="000627BA">
        <w:rPr>
          <w:rFonts w:ascii="微软雅黑" w:eastAsia="微软雅黑" w:hAnsi="微软雅黑"/>
          <w:bCs/>
          <w:kern w:val="0"/>
          <w:sz w:val="20"/>
          <w:szCs w:val="20"/>
        </w:rPr>
        <w:t>4</w:t>
      </w:r>
      <w:r w:rsidR="005C4E00">
        <w:rPr>
          <w:rFonts w:ascii="微软雅黑" w:eastAsia="微软雅黑" w:hAnsi="微软雅黑"/>
          <w:bCs/>
          <w:kern w:val="0"/>
          <w:sz w:val="20"/>
          <w:szCs w:val="20"/>
        </w:rPr>
        <w:t>5</w:t>
      </w:r>
      <w:r w:rsidR="00D20DA6">
        <w:rPr>
          <w:rFonts w:ascii="微软雅黑" w:eastAsia="微软雅黑" w:hAnsi="微软雅黑"/>
          <w:bCs/>
          <w:kern w:val="0"/>
          <w:sz w:val="20"/>
          <w:szCs w:val="20"/>
        </w:rPr>
        <w:t>00</w:t>
      </w:r>
      <w:r w:rsidR="001606E1">
        <w:rPr>
          <w:rFonts w:ascii="微软雅黑" w:eastAsia="微软雅黑" w:hAnsi="微软雅黑" w:hint="eastAsia"/>
          <w:bCs/>
          <w:kern w:val="0"/>
          <w:sz w:val="20"/>
          <w:szCs w:val="20"/>
        </w:rPr>
        <w:t>元/人</w:t>
      </w:r>
      <w:r w:rsidR="00683B42" w:rsidRPr="00683B42">
        <w:rPr>
          <w:rFonts w:ascii="微软雅黑" w:eastAsia="微软雅黑" w:hAnsi="微软雅黑" w:hint="eastAsia"/>
          <w:bCs/>
          <w:sz w:val="20"/>
          <w:szCs w:val="20"/>
        </w:rPr>
        <w:t>（包含：培训费、培训教材、增值税发票、证书、午餐及茶歇）</w:t>
      </w:r>
    </w:p>
    <w:p w14:paraId="4F09E03E"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E35AD56" wp14:editId="5C4793AF">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14:paraId="48EC833D" w14:textId="242FA96C"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40F97970" wp14:editId="3DB4A7DD">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12666DAF"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14:paraId="49973029" w14:textId="77777777" w:rsidR="0088365F" w:rsidRDefault="00490CD2" w:rsidP="0088365F">
      <w:pPr>
        <w:snapToGrid w:val="0"/>
        <w:jc w:val="left"/>
        <w:rPr>
          <w:rFonts w:ascii="微软雅黑" w:eastAsia="微软雅黑" w:hAnsi="微软雅黑" w:cs="宋体"/>
          <w:b/>
          <w:color w:val="C00000"/>
          <w:kern w:val="0"/>
          <w:sz w:val="24"/>
          <w:szCs w:val="21"/>
        </w:rPr>
      </w:pPr>
      <w:r w:rsidRPr="00490CD2">
        <w:rPr>
          <w:rFonts w:ascii="微软雅黑" w:eastAsia="微软雅黑" w:hAnsi="微软雅黑" w:cs="宋体"/>
          <w:b/>
          <w:noProof/>
          <w:color w:val="C00000"/>
          <w:kern w:val="0"/>
          <w:sz w:val="24"/>
          <w:szCs w:val="21"/>
        </w:rPr>
        <mc:AlternateContent>
          <mc:Choice Requires="wps">
            <w:drawing>
              <wp:anchor distT="0" distB="0" distL="114300" distR="114300" simplePos="0" relativeHeight="251674624" behindDoc="0" locked="0" layoutInCell="1" allowOverlap="1" wp14:anchorId="0BD2A1F3" wp14:editId="0968BD16">
                <wp:simplePos x="0" y="0"/>
                <wp:positionH relativeFrom="column">
                  <wp:posOffset>12700</wp:posOffset>
                </wp:positionH>
                <wp:positionV relativeFrom="paragraph">
                  <wp:posOffset>127000</wp:posOffset>
                </wp:positionV>
                <wp:extent cx="6238875" cy="0"/>
                <wp:effectExtent l="0" t="12700" r="22225" b="12700"/>
                <wp:wrapNone/>
                <wp:docPr id="5" name="直线连接符 5"/>
                <wp:cNvGraphicFramePr/>
                <a:graphic xmlns:a="http://schemas.openxmlformats.org/drawingml/2006/main">
                  <a:graphicData uri="http://schemas.microsoft.com/office/word/2010/wordprocessingShape">
                    <wps:wsp>
                      <wps:cNvCnPr/>
                      <wps:spPr>
                        <a:xfrm>
                          <a:off x="0" y="0"/>
                          <a:ext cx="6238875"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7DE55555" id="直线连接符 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pt" to="492.2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" strokecolor="#c00000" strokeweight="1.5pt">
                <v:stroke joinstyle="miter"/>
              </v:line>
            </w:pict>
          </mc:Fallback>
        </mc:AlternateContent>
      </w:r>
    </w:p>
    <w:p w14:paraId="4EE3E44C" w14:textId="4635E231" w:rsidR="001D12A5" w:rsidRDefault="001D12A5" w:rsidP="0088365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w:t>
      </w:r>
      <w:r w:rsidR="005004AF">
        <w:rPr>
          <w:rFonts w:ascii="微软雅黑" w:eastAsia="微软雅黑" w:hAnsi="微软雅黑" w:cs="宋体" w:hint="eastAsia"/>
          <w:b/>
          <w:color w:val="C00000"/>
          <w:kern w:val="0"/>
          <w:sz w:val="24"/>
          <w:szCs w:val="21"/>
        </w:rPr>
        <w:t>背景</w:t>
      </w:r>
      <w:r>
        <w:rPr>
          <w:rFonts w:ascii="微软雅黑" w:eastAsia="微软雅黑" w:hAnsi="微软雅黑" w:cs="宋体" w:hint="eastAsia"/>
          <w:b/>
          <w:color w:val="C00000"/>
          <w:kern w:val="0"/>
          <w:sz w:val="24"/>
          <w:szCs w:val="21"/>
        </w:rPr>
        <w:t>：</w:t>
      </w:r>
    </w:p>
    <w:p w14:paraId="7429DBBE" w14:textId="77777777" w:rsidR="00A06794" w:rsidRDefault="00A06794" w:rsidP="00A06794">
      <w:pPr>
        <w:adjustRightInd w:val="0"/>
        <w:snapToGrid w:val="0"/>
        <w:spacing w:line="276" w:lineRule="auto"/>
        <w:ind w:firstLineChars="200" w:firstLine="420"/>
        <w:rPr>
          <w:rFonts w:ascii="微软雅黑" w:eastAsia="微软雅黑" w:hAnsi="微软雅黑" w:cs="Arial"/>
          <w:szCs w:val="21"/>
        </w:rPr>
      </w:pPr>
      <w:r>
        <w:rPr>
          <w:rFonts w:ascii="微软雅黑" w:eastAsia="微软雅黑" w:hAnsi="微软雅黑" w:cs="Arial" w:hint="eastAsia"/>
          <w:szCs w:val="21"/>
        </w:rPr>
        <w:t>生产管理和物料控制合称PMC，是现代制造型企业生产运营的核心职能。其中，生产计划扮演着供应链大脑和指挥中枢的角色，对企业的运营效率、盈利能力、客户体验和品牌价值有着关键性的影响。物料控制是立足于生产计划的物料管理方法，反过来物料控制又对生产计划的执行效果有显著影响，它既是生产计划指挥下的产物，又是生产计划有效实施的保障，两者相辅相成、缺一不可。</w:t>
      </w:r>
    </w:p>
    <w:p w14:paraId="04DFEDB4" w14:textId="77777777" w:rsidR="00A06794" w:rsidRDefault="00A06794" w:rsidP="00A06794">
      <w:pPr>
        <w:adjustRightInd w:val="0"/>
        <w:snapToGrid w:val="0"/>
        <w:spacing w:line="276" w:lineRule="auto"/>
        <w:ind w:firstLineChars="200" w:firstLine="420"/>
        <w:rPr>
          <w:rFonts w:ascii="微软雅黑" w:eastAsia="微软雅黑" w:hAnsi="微软雅黑" w:cs="Arial"/>
          <w:szCs w:val="21"/>
        </w:rPr>
      </w:pPr>
      <w:r>
        <w:rPr>
          <w:rFonts w:ascii="微软雅黑" w:eastAsia="微软雅黑" w:hAnsi="微软雅黑" w:cs="Arial" w:hint="eastAsia"/>
          <w:szCs w:val="21"/>
        </w:rPr>
        <w:t>然而，由于中国经济的高速发展，企业传统上更加关注销售的增长和产品线的扩张，较为忽视生产计划和物料控制的工作，造成了一定程度上的人才匮乏和管理错误，企业为此付出了巨大的损失。在经济体量庞大、市场渐趋稳定、竞争日渐升级和加剧的今天，企业正在迅速告别简单粗暴的高速增长时代，步入精细化运营的阶段，生产计划和物料控制已经成为企业的核心竞争力之一，发挥着隐性、稳定、厚重、无法被竞争对手模仿复制的作用。</w:t>
      </w:r>
    </w:p>
    <w:p w14:paraId="1DAED89A" w14:textId="77777777" w:rsidR="00A06794" w:rsidRPr="00292467" w:rsidRDefault="00A06794" w:rsidP="00A06794">
      <w:pPr>
        <w:pStyle w:val="a3"/>
        <w:adjustRightInd w:val="0"/>
        <w:snapToGrid w:val="0"/>
        <w:spacing w:line="276" w:lineRule="auto"/>
        <w:ind w:rightChars="50" w:right="105"/>
        <w:jc w:val="left"/>
        <w:rPr>
          <w:rFonts w:ascii="微软雅黑" w:eastAsia="微软雅黑" w:hAnsi="微软雅黑"/>
          <w:color w:val="171717" w:themeColor="background2" w:themeShade="1A"/>
          <w:szCs w:val="21"/>
        </w:rPr>
      </w:pPr>
      <w:r w:rsidRPr="00292467">
        <w:rPr>
          <w:rFonts w:ascii="微软雅黑" w:eastAsia="微软雅黑" w:hAnsi="微软雅黑" w:hint="eastAsia"/>
          <w:color w:val="171717" w:themeColor="background2" w:themeShade="1A"/>
          <w:szCs w:val="21"/>
        </w:rPr>
        <w:t>需求预测是现代企业销售、生产、采购、物流、研发以及财务工作的基础，凡是以市场需求为基本导向展开经营的企业都离不开需求预测的指引，毫不夸张地说，需求预测是大多数企业的指南针。构建和持续优化需求预测的管理体系、改善预测方法、提升预测准确度、有效沟通和传递预测正成为企业控制成本、改善财务绩效的核心手段之一。日渐受到企业的重视。</w:t>
      </w:r>
    </w:p>
    <w:p w14:paraId="57B846FD" w14:textId="77777777" w:rsidR="00A06794" w:rsidRDefault="00A06794" w:rsidP="00A06794">
      <w:pPr>
        <w:adjustRightInd w:val="0"/>
        <w:snapToGrid w:val="0"/>
        <w:spacing w:line="276" w:lineRule="auto"/>
        <w:ind w:firstLineChars="200" w:firstLine="420"/>
        <w:rPr>
          <w:rFonts w:ascii="微软雅黑" w:eastAsia="微软雅黑" w:hAnsi="微软雅黑" w:cs="Arial"/>
          <w:szCs w:val="21"/>
        </w:rPr>
      </w:pPr>
      <w:r w:rsidRPr="00292467">
        <w:rPr>
          <w:rFonts w:ascii="微软雅黑" w:eastAsia="微软雅黑" w:hAnsi="微软雅黑" w:hint="eastAsia"/>
          <w:color w:val="171717" w:themeColor="background2" w:themeShade="1A"/>
          <w:szCs w:val="21"/>
        </w:rPr>
        <w:t>库存控制的核心目的是保障企业的现金流安全，在市场竞争激烈、赚快钱的机会越来越少、资金紧缩的经济环境下，已经发展成对企业至关重要的经营内容。由于库存控制高度依赖需求预测，因此对于大部分企业来说，做好库存控制工作的基础是制定完善的需求预测。</w:t>
      </w:r>
    </w:p>
    <w:p w14:paraId="338CA997" w14:textId="28F337A6" w:rsidR="00A06794" w:rsidRDefault="00A06794" w:rsidP="00A06794">
      <w:pPr>
        <w:snapToGrid w:val="0"/>
        <w:jc w:val="left"/>
        <w:rPr>
          <w:rFonts w:ascii="微软雅黑" w:eastAsia="微软雅黑" w:hAnsi="微软雅黑"/>
          <w:color w:val="171717" w:themeColor="background2" w:themeShade="1A"/>
          <w:szCs w:val="21"/>
        </w:rPr>
      </w:pPr>
      <w:r>
        <w:rPr>
          <w:rFonts w:ascii="微软雅黑" w:eastAsia="微软雅黑" w:hAnsi="微软雅黑" w:cs="Arial" w:hint="eastAsia"/>
          <w:szCs w:val="21"/>
        </w:rPr>
        <w:t>本次课程希望通过原理的剖析、模式的介绍、实战方法的分享、以及业界标杆企业的案例分析，向听众详细解说生产计划和物料控制的方法、技巧和工作中的注意要点，助力PMC人士取得更优的成果、更强的能力、更快的发展。课程中将会穿插案例讲解、问题讨论等课堂互动</w:t>
      </w:r>
      <w:r w:rsidRPr="00664C7A">
        <w:rPr>
          <w:rFonts w:ascii="微软雅黑" w:eastAsia="微软雅黑" w:hAnsi="微软雅黑" w:hint="eastAsia"/>
          <w:color w:val="171717" w:themeColor="background2" w:themeShade="1A"/>
          <w:szCs w:val="21"/>
        </w:rPr>
        <w:t>。</w:t>
      </w:r>
    </w:p>
    <w:p w14:paraId="1A38E78F" w14:textId="2A1E0D47" w:rsidR="00A06794" w:rsidRPr="00A06794" w:rsidRDefault="00A06794" w:rsidP="00A06794">
      <w:pPr>
        <w:snapToGrid w:val="0"/>
        <w:jc w:val="left"/>
        <w:rPr>
          <w:rFonts w:ascii="微软雅黑" w:eastAsia="微软雅黑" w:hAnsi="微软雅黑" w:cs="宋体"/>
          <w:b/>
          <w:color w:val="C00000"/>
          <w:kern w:val="0"/>
          <w:sz w:val="24"/>
          <w:szCs w:val="21"/>
        </w:rPr>
      </w:pPr>
      <w:r w:rsidRPr="00A06794">
        <w:rPr>
          <w:rFonts w:ascii="微软雅黑" w:eastAsia="微软雅黑" w:hAnsi="微软雅黑" w:cs="宋体" w:hint="eastAsia"/>
          <w:b/>
          <w:color w:val="C00000"/>
          <w:kern w:val="0"/>
          <w:sz w:val="24"/>
          <w:szCs w:val="21"/>
        </w:rPr>
        <w:t>培训收益：</w:t>
      </w:r>
    </w:p>
    <w:p w14:paraId="610B51F0" w14:textId="77777777" w:rsidR="00A06794" w:rsidRPr="00A75C3A"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lastRenderedPageBreak/>
        <w:t>帮助学员掌握生产计划与物料控制的先进理念和方法</w:t>
      </w:r>
    </w:p>
    <w:p w14:paraId="0A535B41" w14:textId="77777777" w:rsidR="00A06794"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掌握生产计划与销售预测的衔接，做出有效的预测并转化为一致性销售预测</w:t>
      </w:r>
    </w:p>
    <w:p w14:paraId="3AE071C7" w14:textId="77777777" w:rsidR="00A06794" w:rsidRPr="008432AC" w:rsidRDefault="00A06794" w:rsidP="00A06794">
      <w:pPr>
        <w:pStyle w:val="a3"/>
        <w:numPr>
          <w:ilvl w:val="0"/>
          <w:numId w:val="8"/>
        </w:numPr>
        <w:adjustRightInd w:val="0"/>
        <w:snapToGrid w:val="0"/>
        <w:spacing w:line="276" w:lineRule="auto"/>
        <w:ind w:rightChars="134" w:right="281" w:firstLineChars="0"/>
        <w:jc w:val="left"/>
        <w:rPr>
          <w:rFonts w:ascii="微软雅黑" w:eastAsia="微软雅黑" w:hAnsi="微软雅黑" w:cs="Arial"/>
          <w:szCs w:val="21"/>
        </w:rPr>
      </w:pPr>
      <w:r w:rsidRPr="008432AC">
        <w:rPr>
          <w:rFonts w:ascii="微软雅黑" w:eastAsia="微软雅黑" w:hAnsi="微软雅黑" w:cs="Arial" w:hint="eastAsia"/>
          <w:szCs w:val="21"/>
        </w:rPr>
        <w:t>S&amp;OP的定义及其对柔性计划的影响</w:t>
      </w:r>
    </w:p>
    <w:p w14:paraId="4F79BCBA" w14:textId="77777777" w:rsidR="00A06794" w:rsidRPr="008432AC" w:rsidRDefault="00A06794" w:rsidP="00A06794">
      <w:pPr>
        <w:pStyle w:val="a3"/>
        <w:numPr>
          <w:ilvl w:val="0"/>
          <w:numId w:val="8"/>
        </w:numPr>
        <w:adjustRightInd w:val="0"/>
        <w:snapToGrid w:val="0"/>
        <w:spacing w:line="276" w:lineRule="auto"/>
        <w:ind w:rightChars="134" w:right="281" w:firstLineChars="0"/>
        <w:jc w:val="left"/>
        <w:rPr>
          <w:rFonts w:ascii="微软雅黑" w:eastAsia="微软雅黑" w:hAnsi="微软雅黑" w:cs="Arial"/>
          <w:szCs w:val="21"/>
        </w:rPr>
      </w:pPr>
      <w:r w:rsidRPr="008432AC">
        <w:rPr>
          <w:rFonts w:ascii="微软雅黑" w:eastAsia="微软雅黑" w:hAnsi="微软雅黑" w:cs="Arial" w:hint="eastAsia"/>
          <w:szCs w:val="21"/>
        </w:rPr>
        <w:t>实施S&amp;OP管理变革的路径和方法</w:t>
      </w:r>
    </w:p>
    <w:p w14:paraId="0C4A18D2" w14:textId="77777777" w:rsidR="00A06794" w:rsidRPr="00A75C3A"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有效提高供应链管理人员的库存管理意识，介绍库存控制体系和主要方法</w:t>
      </w:r>
    </w:p>
    <w:p w14:paraId="11A6DD53" w14:textId="77777777" w:rsidR="00A06794" w:rsidRPr="00A75C3A"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物料需求计划MRP运行逻辑，提高计划的准确性</w:t>
      </w:r>
    </w:p>
    <w:p w14:paraId="498572FF" w14:textId="77777777" w:rsidR="00A06794" w:rsidRPr="00A75C3A"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掌握物料供应策略</w:t>
      </w:r>
    </w:p>
    <w:p w14:paraId="5DF026BF" w14:textId="29DF4E28" w:rsidR="00A06794" w:rsidRPr="00A06794" w:rsidRDefault="00A06794" w:rsidP="00A06794">
      <w:pPr>
        <w:pStyle w:val="a3"/>
        <w:widowControl/>
        <w:numPr>
          <w:ilvl w:val="0"/>
          <w:numId w:val="8"/>
        </w:numPr>
        <w:adjustRightInd w:val="0"/>
        <w:snapToGrid w:val="0"/>
        <w:spacing w:line="276" w:lineRule="auto"/>
        <w:ind w:firstLineChars="0"/>
        <w:jc w:val="left"/>
        <w:rPr>
          <w:rFonts w:ascii="微软雅黑" w:eastAsia="微软雅黑" w:hAnsi="微软雅黑"/>
          <w:color w:val="171717" w:themeColor="background2" w:themeShade="1A"/>
          <w:sz w:val="24"/>
          <w:szCs w:val="24"/>
        </w:rPr>
      </w:pPr>
      <w:r w:rsidRPr="00A75C3A">
        <w:rPr>
          <w:rFonts w:ascii="微软雅黑" w:eastAsia="微软雅黑" w:hAnsi="微软雅黑" w:cs="Arial" w:hint="eastAsia"/>
          <w:szCs w:val="21"/>
        </w:rPr>
        <w:t>学会通过跨部门的沟通与协作来应对计划频繁变动带来的困扰</w:t>
      </w:r>
    </w:p>
    <w:p w14:paraId="546D1EDD" w14:textId="40398223" w:rsidR="00D13EA2" w:rsidRDefault="005004AF" w:rsidP="00A06794">
      <w:pPr>
        <w:snapToGrid w:val="0"/>
        <w:jc w:val="left"/>
        <w:rPr>
          <w:rFonts w:ascii="微软雅黑" w:eastAsia="微软雅黑" w:hAnsi="微软雅黑" w:cs="宋体"/>
          <w:b/>
          <w:color w:val="C00000"/>
          <w:kern w:val="0"/>
          <w:sz w:val="24"/>
          <w:szCs w:val="21"/>
        </w:rPr>
      </w:pPr>
      <w:r w:rsidRPr="005004AF">
        <w:rPr>
          <w:rFonts w:ascii="微软雅黑" w:eastAsia="微软雅黑" w:hAnsi="微软雅黑" w:cs="宋体" w:hint="eastAsia"/>
          <w:b/>
          <w:color w:val="C00000"/>
          <w:kern w:val="0"/>
          <w:sz w:val="24"/>
          <w:szCs w:val="21"/>
        </w:rPr>
        <w:t>课程大纲：</w:t>
      </w:r>
    </w:p>
    <w:p w14:paraId="3EB3E9CC" w14:textId="77777777" w:rsidR="00697330" w:rsidRPr="00A75C3A" w:rsidRDefault="00697330" w:rsidP="00697330">
      <w:pPr>
        <w:adjustRightInd w:val="0"/>
        <w:snapToGrid w:val="0"/>
        <w:spacing w:line="276" w:lineRule="auto"/>
        <w:rPr>
          <w:rFonts w:ascii="微软雅黑" w:eastAsia="微软雅黑" w:hAnsi="微软雅黑" w:cs="微软雅黑"/>
          <w:b/>
          <w:szCs w:val="21"/>
        </w:rPr>
      </w:pPr>
      <w:r w:rsidRPr="00A75C3A">
        <w:rPr>
          <w:rFonts w:ascii="微软雅黑" w:eastAsia="微软雅黑" w:hAnsi="微软雅黑" w:cs="微软雅黑" w:hint="eastAsia"/>
          <w:b/>
          <w:szCs w:val="21"/>
        </w:rPr>
        <w:t>第一部分：生产计划</w:t>
      </w:r>
    </w:p>
    <w:p w14:paraId="171CFB72"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生产计划概述</w:t>
      </w:r>
    </w:p>
    <w:p w14:paraId="4DE71111"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以计划为核心的先进供应链管理</w:t>
      </w:r>
    </w:p>
    <w:p w14:paraId="34868C0C"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生产计划的职责和内容</w:t>
      </w:r>
    </w:p>
    <w:p w14:paraId="28B77E27"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生产计划的常用术语和概念定义</w:t>
      </w:r>
    </w:p>
    <w:p w14:paraId="226F772F"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销售预测、生产计划、物料需求计划和采购计划的关系</w:t>
      </w:r>
    </w:p>
    <w:p w14:paraId="293C17D3"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生产类型和计划方式</w:t>
      </w:r>
    </w:p>
    <w:p w14:paraId="016AB3A7"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生产计划组织</w:t>
      </w:r>
    </w:p>
    <w:p w14:paraId="757AB168"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生产计划和物料控制的分工</w:t>
      </w:r>
    </w:p>
    <w:p w14:paraId="7EF4D545"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PMC团队和采购部门的其他业务部门的关系</w:t>
      </w:r>
    </w:p>
    <w:p w14:paraId="11A6B26D"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3层PMC组织架构</w:t>
      </w:r>
    </w:p>
    <w:p w14:paraId="4317CAE7"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PMC人员的职责和技能要求</w:t>
      </w:r>
    </w:p>
    <w:p w14:paraId="02CFC874"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塑造PMC核心地位的方式和注意事项</w:t>
      </w:r>
    </w:p>
    <w:p w14:paraId="7849B705"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需求预测管理</w:t>
      </w:r>
    </w:p>
    <w:p w14:paraId="3EFF3374" w14:textId="77777777" w:rsidR="00697330" w:rsidRPr="00A75C3A"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需求预测在供应链中的关键价值</w:t>
      </w:r>
    </w:p>
    <w:p w14:paraId="5F65C4A0" w14:textId="77777777" w:rsidR="00697330" w:rsidRPr="00A75C3A"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预测的种类和层级</w:t>
      </w:r>
    </w:p>
    <w:p w14:paraId="5E352602" w14:textId="77777777" w:rsidR="00697330" w:rsidRPr="00A75C3A"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主观定性预测：</w:t>
      </w:r>
    </w:p>
    <w:p w14:paraId="38000C8B"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供应市场的变化周期</w:t>
      </w:r>
    </w:p>
    <w:p w14:paraId="74EE06F6"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产品的生命周期和供应市场特征</w:t>
      </w:r>
    </w:p>
    <w:p w14:paraId="6A8DFCBB"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供应市场竞争形态</w:t>
      </w:r>
    </w:p>
    <w:p w14:paraId="64258B64"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供应市场变化趋势的预测</w:t>
      </w:r>
    </w:p>
    <w:p w14:paraId="0F616608"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S&amp;OP的实施要领</w:t>
      </w:r>
    </w:p>
    <w:p w14:paraId="2693E732" w14:textId="77777777" w:rsidR="00697330" w:rsidRPr="00A75C3A"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客观定量预测：</w:t>
      </w:r>
    </w:p>
    <w:p w14:paraId="13193C0A" w14:textId="77777777" w:rsidR="00697330" w:rsidRPr="00A75C3A" w:rsidRDefault="00697330" w:rsidP="00697330">
      <w:pPr>
        <w:pStyle w:val="a3"/>
        <w:numPr>
          <w:ilvl w:val="0"/>
          <w:numId w:val="14"/>
        </w:numPr>
        <w:adjustRightInd w:val="0"/>
        <w:snapToGrid w:val="0"/>
        <w:spacing w:line="276" w:lineRule="auto"/>
        <w:ind w:leftChars="200" w:left="840"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指数平滑预测法</w:t>
      </w:r>
    </w:p>
    <w:p w14:paraId="4A20FB10" w14:textId="77777777" w:rsidR="00697330" w:rsidRPr="00A75C3A" w:rsidRDefault="00697330" w:rsidP="00697330">
      <w:pPr>
        <w:pStyle w:val="a3"/>
        <w:numPr>
          <w:ilvl w:val="0"/>
          <w:numId w:val="14"/>
        </w:numPr>
        <w:adjustRightInd w:val="0"/>
        <w:snapToGrid w:val="0"/>
        <w:spacing w:line="276" w:lineRule="auto"/>
        <w:ind w:leftChars="200" w:left="840"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lastRenderedPageBreak/>
        <w:t>Holt-Winters预测法</w:t>
      </w:r>
    </w:p>
    <w:p w14:paraId="6E4C6DD3" w14:textId="77777777" w:rsidR="00697330" w:rsidRPr="00A75C3A" w:rsidRDefault="00697330" w:rsidP="00697330">
      <w:pPr>
        <w:pStyle w:val="a3"/>
        <w:numPr>
          <w:ilvl w:val="0"/>
          <w:numId w:val="14"/>
        </w:numPr>
        <w:adjustRightInd w:val="0"/>
        <w:snapToGrid w:val="0"/>
        <w:spacing w:line="276" w:lineRule="auto"/>
        <w:ind w:leftChars="200" w:left="840"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线性回归预测法</w:t>
      </w:r>
    </w:p>
    <w:p w14:paraId="051E2FC4" w14:textId="77777777" w:rsidR="00697330"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预测准确率的监控</w:t>
      </w:r>
    </w:p>
    <w:p w14:paraId="721B2C45" w14:textId="77777777" w:rsidR="00697330" w:rsidRDefault="00697330" w:rsidP="00697330">
      <w:pPr>
        <w:numPr>
          <w:ilvl w:val="0"/>
          <w:numId w:val="12"/>
        </w:numPr>
        <w:adjustRightInd w:val="0"/>
        <w:snapToGrid w:val="0"/>
        <w:spacing w:line="276" w:lineRule="auto"/>
        <w:rPr>
          <w:rFonts w:ascii="微软雅黑" w:eastAsia="微软雅黑" w:hAnsi="微软雅黑" w:cs="微软雅黑"/>
          <w:bCs/>
          <w:szCs w:val="21"/>
        </w:rPr>
      </w:pPr>
      <w:r>
        <w:rPr>
          <w:rFonts w:ascii="微软雅黑" w:eastAsia="微软雅黑" w:hAnsi="微软雅黑" w:cs="微软雅黑" w:hint="eastAsia"/>
          <w:bCs/>
          <w:szCs w:val="21"/>
        </w:rPr>
        <w:t>衡量预测的准确性</w:t>
      </w:r>
    </w:p>
    <w:p w14:paraId="177E4A81" w14:textId="77777777" w:rsidR="00697330" w:rsidRDefault="00697330" w:rsidP="00697330">
      <w:pPr>
        <w:pStyle w:val="a3"/>
        <w:numPr>
          <w:ilvl w:val="0"/>
          <w:numId w:val="22"/>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预测准确率的衡量方法</w:t>
      </w:r>
    </w:p>
    <w:p w14:paraId="62FCFF04" w14:textId="77777777" w:rsidR="00697330" w:rsidRDefault="00697330" w:rsidP="00697330">
      <w:pPr>
        <w:pStyle w:val="a3"/>
        <w:numPr>
          <w:ilvl w:val="0"/>
          <w:numId w:val="22"/>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rPr>
        <w:t>监测预测准确率的目的和对工作的指导意义</w:t>
      </w:r>
    </w:p>
    <w:p w14:paraId="1ED03996" w14:textId="77777777" w:rsidR="00697330" w:rsidRPr="00D37C6B" w:rsidRDefault="00697330" w:rsidP="00697330">
      <w:pPr>
        <w:pStyle w:val="a3"/>
        <w:numPr>
          <w:ilvl w:val="0"/>
          <w:numId w:val="22"/>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预测准确率的考核和激励</w:t>
      </w:r>
    </w:p>
    <w:p w14:paraId="353DF002" w14:textId="77777777" w:rsidR="00697330"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牛鞭效应的原理和缓解办法</w:t>
      </w:r>
    </w:p>
    <w:p w14:paraId="242D3F44" w14:textId="77777777" w:rsidR="00697330" w:rsidRDefault="00697330" w:rsidP="00697330">
      <w:pPr>
        <w:numPr>
          <w:ilvl w:val="0"/>
          <w:numId w:val="12"/>
        </w:numPr>
        <w:adjustRightInd w:val="0"/>
        <w:snapToGrid w:val="0"/>
        <w:spacing w:line="276" w:lineRule="auto"/>
        <w:rPr>
          <w:rFonts w:ascii="微软雅黑" w:eastAsia="微软雅黑" w:hAnsi="微软雅黑" w:cs="微软雅黑"/>
          <w:bCs/>
          <w:szCs w:val="21"/>
        </w:rPr>
      </w:pPr>
      <w:r>
        <w:rPr>
          <w:rFonts w:ascii="微软雅黑" w:eastAsia="微软雅黑" w:hAnsi="微软雅黑" w:cs="微软雅黑" w:hint="eastAsia"/>
          <w:bCs/>
          <w:szCs w:val="21"/>
        </w:rPr>
        <w:t>预测的沟通与传递</w:t>
      </w:r>
    </w:p>
    <w:p w14:paraId="76E0D291" w14:textId="77777777" w:rsidR="00697330" w:rsidRDefault="00697330" w:rsidP="00697330">
      <w:pPr>
        <w:pStyle w:val="a3"/>
        <w:numPr>
          <w:ilvl w:val="0"/>
          <w:numId w:val="23"/>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预测沟通与调整的流程</w:t>
      </w:r>
    </w:p>
    <w:p w14:paraId="29FAEDBA" w14:textId="77777777" w:rsidR="00697330" w:rsidRDefault="00697330" w:rsidP="00697330">
      <w:pPr>
        <w:pStyle w:val="a3"/>
        <w:numPr>
          <w:ilvl w:val="0"/>
          <w:numId w:val="23"/>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督促供应商按预测制定备料计划</w:t>
      </w:r>
    </w:p>
    <w:p w14:paraId="1A7EC586" w14:textId="77777777" w:rsidR="00697330" w:rsidRPr="00AB3538" w:rsidRDefault="00697330" w:rsidP="00697330">
      <w:pPr>
        <w:pStyle w:val="a3"/>
        <w:numPr>
          <w:ilvl w:val="0"/>
          <w:numId w:val="23"/>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S&amp;OP预测沟通会议的操作方法</w:t>
      </w:r>
    </w:p>
    <w:p w14:paraId="0C6C6E10"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生产计划的制订</w:t>
      </w:r>
    </w:p>
    <w:p w14:paraId="36C7211F" w14:textId="77777777" w:rsidR="00697330" w:rsidRPr="00A75C3A"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从需求预测到多部门计划的过程</w:t>
      </w:r>
    </w:p>
    <w:p w14:paraId="104E7CC7" w14:textId="77777777" w:rsidR="00697330" w:rsidRPr="00A75C3A"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主生产计划的制订过程和影响计划的要素</w:t>
      </w:r>
    </w:p>
    <w:p w14:paraId="2E15A1F4"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产能规划和监控</w:t>
      </w:r>
    </w:p>
    <w:p w14:paraId="0EF2E84F"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物料供应和补货的方式</w:t>
      </w:r>
    </w:p>
    <w:p w14:paraId="17C6C9F0"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订单交付的优先级管理</w:t>
      </w:r>
    </w:p>
    <w:p w14:paraId="403DA83F"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生产批量和规模效应</w:t>
      </w:r>
    </w:p>
    <w:p w14:paraId="186C4B3C"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生产人员的安排</w:t>
      </w:r>
    </w:p>
    <w:p w14:paraId="0D8F082E" w14:textId="77777777" w:rsidR="00697330" w:rsidRPr="00A75C3A"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识别和消除生产过程中的浪费</w:t>
      </w:r>
    </w:p>
    <w:p w14:paraId="433975D9" w14:textId="77777777" w:rsidR="00697330"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精益生产的模式和计划特点</w:t>
      </w:r>
    </w:p>
    <w:p w14:paraId="0E6AD4F6" w14:textId="77777777" w:rsidR="00697330" w:rsidRPr="00A75C3A"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生产计划的进度和变更管理</w:t>
      </w:r>
    </w:p>
    <w:p w14:paraId="33788DA7" w14:textId="77777777" w:rsidR="00697330" w:rsidRPr="00A75C3A" w:rsidRDefault="00697330" w:rsidP="00697330">
      <w:pPr>
        <w:adjustRightInd w:val="0"/>
        <w:snapToGrid w:val="0"/>
        <w:spacing w:line="276" w:lineRule="auto"/>
        <w:rPr>
          <w:rFonts w:ascii="微软雅黑" w:eastAsia="微软雅黑" w:hAnsi="微软雅黑" w:cs="微软雅黑"/>
          <w:b/>
          <w:szCs w:val="21"/>
        </w:rPr>
      </w:pPr>
      <w:r w:rsidRPr="00A75C3A">
        <w:rPr>
          <w:rFonts w:ascii="微软雅黑" w:eastAsia="微软雅黑" w:hAnsi="微软雅黑" w:cs="微软雅黑" w:hint="eastAsia"/>
          <w:b/>
          <w:szCs w:val="21"/>
        </w:rPr>
        <w:t>第二部分：物料控制</w:t>
      </w:r>
    </w:p>
    <w:p w14:paraId="32DF008F"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物料需求计划和采购计划的制订</w:t>
      </w:r>
    </w:p>
    <w:p w14:paraId="30252CF7"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采购计划和物料需求计划的关系</w:t>
      </w:r>
    </w:p>
    <w:p w14:paraId="1D3AD05B"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物料需求计划的制订</w:t>
      </w:r>
    </w:p>
    <w:p w14:paraId="7457F79D"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物料采购计划的制订</w:t>
      </w:r>
    </w:p>
    <w:p w14:paraId="6DC349F4"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MRP系统逻辑</w:t>
      </w:r>
    </w:p>
    <w:p w14:paraId="77F902A9"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MRP系统在使用过程中的注意要点</w:t>
      </w:r>
    </w:p>
    <w:p w14:paraId="26E7F253"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采购物料供应管理</w:t>
      </w:r>
    </w:p>
    <w:p w14:paraId="2B482768"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供应管理工作的3个维度</w:t>
      </w:r>
    </w:p>
    <w:p w14:paraId="0A1C7EAD"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供应管理工作的5大内容</w:t>
      </w:r>
    </w:p>
    <w:p w14:paraId="023467AD"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lastRenderedPageBreak/>
        <w:t>物料分类和分类管理策略</w:t>
      </w:r>
    </w:p>
    <w:p w14:paraId="2F7A0D7F"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导致物料短缺的常见因素</w:t>
      </w:r>
    </w:p>
    <w:p w14:paraId="78649D13"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新产品研发过程中的供应管理</w:t>
      </w:r>
    </w:p>
    <w:p w14:paraId="46EACDE0"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产品EOL阶段的供应管理</w:t>
      </w:r>
    </w:p>
    <w:p w14:paraId="38E8DA79"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成熟产品的供应管理</w:t>
      </w:r>
    </w:p>
    <w:p w14:paraId="58123477"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缺料预警和应急处理</w:t>
      </w:r>
    </w:p>
    <w:p w14:paraId="4D739145"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库存控制</w:t>
      </w:r>
    </w:p>
    <w:p w14:paraId="6598EE50"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库存控制的定义、目标和价值</w:t>
      </w:r>
    </w:p>
    <w:p w14:paraId="36FB62A2"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仓储管理</w:t>
      </w:r>
    </w:p>
    <w:p w14:paraId="6503A615"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仓储管理是库存控制的重要基础</w:t>
      </w:r>
    </w:p>
    <w:p w14:paraId="58076D89"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仓储管理的5大过程</w:t>
      </w:r>
    </w:p>
    <w:p w14:paraId="30020EEA"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物料可视化管理</w:t>
      </w:r>
    </w:p>
    <w:p w14:paraId="5A03014C"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库存控制相关的数据统计</w:t>
      </w:r>
    </w:p>
    <w:p w14:paraId="405595BA"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标杆企业的库存控制模式简介</w:t>
      </w:r>
    </w:p>
    <w:p w14:paraId="2E5DE799"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全面库存控制的文化基础</w:t>
      </w:r>
    </w:p>
    <w:p w14:paraId="638AA90E"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库存控制的工具和方法</w:t>
      </w:r>
    </w:p>
    <w:p w14:paraId="59845B12"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订货点采购和EOQ的计算</w:t>
      </w:r>
    </w:p>
    <w:p w14:paraId="45A6AB56"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VMI</w:t>
      </w:r>
    </w:p>
    <w:p w14:paraId="2607EE5E"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寄售物料</w:t>
      </w:r>
    </w:p>
    <w:p w14:paraId="195043BF"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CPFR</w:t>
      </w:r>
    </w:p>
    <w:p w14:paraId="3743C7AF"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安全库存的计算</w:t>
      </w:r>
    </w:p>
    <w:p w14:paraId="3E50617C"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冗余库存的责任区分方法</w:t>
      </w:r>
    </w:p>
    <w:p w14:paraId="2CB8B4E1"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呆滞物料的处理和弃置</w:t>
      </w:r>
    </w:p>
    <w:p w14:paraId="44FFE59E"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生产管理和物料控制的可持续发展</w:t>
      </w:r>
    </w:p>
    <w:p w14:paraId="2818BBFC" w14:textId="77777777" w:rsidR="00697330" w:rsidRDefault="00697330" w:rsidP="00697330">
      <w:pPr>
        <w:pStyle w:val="a3"/>
        <w:numPr>
          <w:ilvl w:val="0"/>
          <w:numId w:val="21"/>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PMC的风险种类和防控办法</w:t>
      </w:r>
    </w:p>
    <w:p w14:paraId="57F0875D" w14:textId="77777777" w:rsidR="00697330" w:rsidRDefault="00697330" w:rsidP="00697330">
      <w:pPr>
        <w:pStyle w:val="a3"/>
        <w:numPr>
          <w:ilvl w:val="0"/>
          <w:numId w:val="21"/>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EHS合规和合规审计流程</w:t>
      </w:r>
    </w:p>
    <w:p w14:paraId="7034755D" w14:textId="2035CA63" w:rsidR="00697330" w:rsidRPr="00697330" w:rsidRDefault="00697330" w:rsidP="00697330">
      <w:pPr>
        <w:pStyle w:val="a3"/>
        <w:numPr>
          <w:ilvl w:val="0"/>
          <w:numId w:val="21"/>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PMC的其他社会责任</w:t>
      </w:r>
    </w:p>
    <w:p w14:paraId="10238163" w14:textId="77777777" w:rsidR="00697330" w:rsidRPr="00697330" w:rsidRDefault="00697330" w:rsidP="00697330">
      <w:pPr>
        <w:adjustRightInd w:val="0"/>
        <w:snapToGrid w:val="0"/>
        <w:spacing w:line="276" w:lineRule="auto"/>
        <w:jc w:val="left"/>
        <w:rPr>
          <w:rFonts w:ascii="微软雅黑" w:eastAsia="微软雅黑" w:hAnsi="微软雅黑"/>
          <w:bCs/>
          <w:color w:val="000000" w:themeColor="text1"/>
          <w:szCs w:val="21"/>
        </w:rPr>
      </w:pPr>
    </w:p>
    <w:p w14:paraId="210DE878" w14:textId="62291582" w:rsidR="005004AF" w:rsidRPr="005004AF" w:rsidRDefault="005004AF" w:rsidP="005004A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讲师介绍：</w:t>
      </w:r>
    </w:p>
    <w:p w14:paraId="1DFB5743" w14:textId="461228DE" w:rsidR="00E24F0F" w:rsidRPr="00C57997" w:rsidRDefault="00E24F0F" w:rsidP="00E24F0F">
      <w:pPr>
        <w:adjustRightInd w:val="0"/>
        <w:snapToGrid w:val="0"/>
        <w:spacing w:line="276" w:lineRule="auto"/>
        <w:rPr>
          <w:rFonts w:ascii="微软雅黑" w:eastAsia="微软雅黑" w:hAnsi="微软雅黑"/>
          <w:b/>
          <w:sz w:val="24"/>
          <w:szCs w:val="21"/>
        </w:rPr>
      </w:pPr>
      <w:r w:rsidRPr="00C57997">
        <w:rPr>
          <w:rFonts w:ascii="微软雅黑" w:eastAsia="微软雅黑" w:hAnsi="微软雅黑" w:cs="宋体" w:hint="eastAsia"/>
          <w:b/>
          <w:bCs/>
          <w:kern w:val="0"/>
          <w:sz w:val="24"/>
          <w:szCs w:val="21"/>
        </w:rPr>
        <w:t>夏先生 Mr.</w:t>
      </w:r>
      <w:r w:rsidR="000A112E">
        <w:rPr>
          <w:rFonts w:ascii="微软雅黑" w:eastAsia="微软雅黑" w:hAnsi="微软雅黑" w:cs="宋体"/>
          <w:b/>
          <w:bCs/>
          <w:kern w:val="0"/>
          <w:sz w:val="24"/>
          <w:szCs w:val="21"/>
        </w:rPr>
        <w:t>T</w:t>
      </w:r>
      <w:r w:rsidR="000A112E">
        <w:rPr>
          <w:rFonts w:ascii="微软雅黑" w:eastAsia="微软雅黑" w:hAnsi="微软雅黑" w:cs="宋体" w:hint="eastAsia"/>
          <w:b/>
          <w:bCs/>
          <w:kern w:val="0"/>
          <w:sz w:val="24"/>
          <w:szCs w:val="21"/>
        </w:rPr>
        <w:t>eddy</w:t>
      </w:r>
      <w:r w:rsidRPr="00C57997">
        <w:rPr>
          <w:rFonts w:ascii="微软雅黑" w:eastAsia="微软雅黑" w:hAnsi="微软雅黑" w:cs="宋体" w:hint="eastAsia"/>
          <w:b/>
          <w:bCs/>
          <w:kern w:val="0"/>
          <w:sz w:val="24"/>
          <w:szCs w:val="21"/>
        </w:rPr>
        <w:t xml:space="preserve"> Xia</w:t>
      </w:r>
    </w:p>
    <w:p w14:paraId="31FFBEAB" w14:textId="77777777" w:rsidR="00251D5D" w:rsidRPr="00EB20C1" w:rsidRDefault="00251D5D" w:rsidP="00251D5D">
      <w:pPr>
        <w:widowControl/>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专业背景</w:t>
      </w:r>
      <w:r w:rsidRPr="00EB20C1">
        <w:rPr>
          <w:rFonts w:ascii="微软雅黑" w:eastAsia="微软雅黑" w:hAnsi="微软雅黑" w:cs="宋体" w:hint="eastAsia"/>
          <w:b/>
          <w:color w:val="C00000"/>
          <w:kern w:val="0"/>
          <w:sz w:val="24"/>
          <w:szCs w:val="24"/>
        </w:rPr>
        <w:t>：</w:t>
      </w:r>
    </w:p>
    <w:p w14:paraId="3B427073" w14:textId="77777777" w:rsidR="00251D5D" w:rsidRPr="00C57E99"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Pr>
          <w:rFonts w:ascii="微软雅黑" w:eastAsia="微软雅黑" w:hAnsi="微软雅黑" w:hint="eastAsia"/>
          <w:color w:val="000000"/>
          <w:szCs w:val="21"/>
        </w:rPr>
        <w:t>加拿大滑铁卢大学数学院优化数学系，</w:t>
      </w:r>
      <w:r w:rsidRPr="00C57E99">
        <w:rPr>
          <w:rFonts w:ascii="微软雅黑" w:eastAsia="微软雅黑" w:hAnsi="微软雅黑" w:hint="eastAsia"/>
          <w:color w:val="000000"/>
          <w:szCs w:val="21"/>
        </w:rPr>
        <w:t>供应链运营优化</w:t>
      </w:r>
      <w:r>
        <w:rPr>
          <w:rFonts w:ascii="微软雅黑" w:eastAsia="微软雅黑" w:hAnsi="微软雅黑" w:hint="eastAsia"/>
          <w:color w:val="000000"/>
          <w:szCs w:val="21"/>
        </w:rPr>
        <w:t>专业</w:t>
      </w:r>
      <w:r>
        <w:rPr>
          <w:rFonts w:ascii="微软雅黑" w:eastAsia="微软雅黑" w:hAnsi="微软雅黑"/>
          <w:color w:val="000000"/>
          <w:szCs w:val="21"/>
        </w:rPr>
        <w:t>方向</w:t>
      </w:r>
    </w:p>
    <w:p w14:paraId="7EE0CCCE" w14:textId="77777777" w:rsidR="00251D5D" w:rsidRPr="00C57E99"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sidRPr="00C57E99">
        <w:rPr>
          <w:rFonts w:ascii="微软雅黑" w:eastAsia="微软雅黑" w:hAnsi="微软雅黑" w:hint="eastAsia"/>
          <w:color w:val="000000"/>
          <w:szCs w:val="21"/>
        </w:rPr>
        <w:t>美国供应管理协会（ISM）CPM资质证书</w:t>
      </w:r>
    </w:p>
    <w:p w14:paraId="111E03A8" w14:textId="77777777" w:rsidR="00251D5D" w:rsidRPr="00C57E99"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sidRPr="00C57E99">
        <w:rPr>
          <w:rFonts w:ascii="微软雅黑" w:eastAsia="微软雅黑" w:hAnsi="微软雅黑" w:hint="eastAsia"/>
          <w:color w:val="000000"/>
          <w:szCs w:val="21"/>
        </w:rPr>
        <w:lastRenderedPageBreak/>
        <w:t>美国项目管理协会（PMI）资质证书</w:t>
      </w:r>
    </w:p>
    <w:p w14:paraId="477F1195" w14:textId="30164690" w:rsidR="00251D5D"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sidRPr="00C57E99">
        <w:rPr>
          <w:rFonts w:ascii="微软雅黑" w:eastAsia="微软雅黑" w:hAnsi="微软雅黑" w:hint="eastAsia"/>
          <w:color w:val="000000"/>
          <w:szCs w:val="21"/>
        </w:rPr>
        <w:t>ISM</w:t>
      </w:r>
      <w:r>
        <w:rPr>
          <w:rFonts w:ascii="微软雅黑" w:eastAsia="微软雅黑" w:hAnsi="微软雅黑"/>
          <w:color w:val="000000"/>
          <w:szCs w:val="21"/>
        </w:rPr>
        <w:t xml:space="preserve"> / </w:t>
      </w:r>
      <w:r w:rsidRPr="00C57E99">
        <w:rPr>
          <w:rFonts w:ascii="微软雅黑" w:eastAsia="微软雅黑" w:hAnsi="微软雅黑" w:hint="eastAsia"/>
          <w:color w:val="000000"/>
          <w:szCs w:val="21"/>
        </w:rPr>
        <w:t>CPSM证书的讲师资格认证</w:t>
      </w:r>
    </w:p>
    <w:p w14:paraId="619DD196" w14:textId="710EB9BF" w:rsidR="00251D5D" w:rsidRPr="00C57E99"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Pr>
          <w:rFonts w:ascii="微软雅黑" w:eastAsia="微软雅黑" w:hAnsi="微软雅黑" w:hint="eastAsia"/>
          <w:color w:val="000000"/>
          <w:szCs w:val="21"/>
        </w:rPr>
        <w:t>可中英文授课</w:t>
      </w:r>
    </w:p>
    <w:p w14:paraId="70D25AE4" w14:textId="77777777" w:rsidR="00251D5D" w:rsidRPr="00DE002C" w:rsidRDefault="00251D5D" w:rsidP="00251D5D">
      <w:pPr>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行业资质</w:t>
      </w:r>
      <w:r w:rsidRPr="00DE002C">
        <w:rPr>
          <w:rFonts w:ascii="微软雅黑" w:eastAsia="微软雅黑" w:hAnsi="微软雅黑" w:cs="宋体" w:hint="eastAsia"/>
          <w:b/>
          <w:color w:val="C00000"/>
          <w:kern w:val="0"/>
          <w:sz w:val="24"/>
          <w:szCs w:val="24"/>
        </w:rPr>
        <w:t>：</w:t>
      </w:r>
    </w:p>
    <w:p w14:paraId="50F5CDE5" w14:textId="77777777" w:rsidR="00251D5D" w:rsidRPr="005B6769" w:rsidRDefault="00251D5D" w:rsidP="00251D5D">
      <w:pPr>
        <w:widowControl/>
        <w:adjustRightInd w:val="0"/>
        <w:snapToGrid w:val="0"/>
        <w:spacing w:line="276" w:lineRule="auto"/>
        <w:ind w:firstLine="420"/>
        <w:jc w:val="left"/>
        <w:rPr>
          <w:rFonts w:ascii="微软雅黑" w:eastAsia="微软雅黑" w:hAnsi="微软雅黑"/>
          <w:szCs w:val="21"/>
        </w:rPr>
      </w:pPr>
      <w:r w:rsidRPr="005B6769">
        <w:rPr>
          <w:rFonts w:ascii="微软雅黑" w:eastAsia="微软雅黑" w:hAnsi="微软雅黑" w:hint="eastAsia"/>
          <w:szCs w:val="21"/>
        </w:rPr>
        <w:t>十几年作为世界500强企业集团公司供应链经理，涉及领域包括生产计划、库存控制、sourcing</w:t>
      </w:r>
      <w:r>
        <w:rPr>
          <w:rFonts w:ascii="微软雅黑" w:eastAsia="微软雅黑" w:hAnsi="微软雅黑" w:hint="eastAsia"/>
          <w:szCs w:val="21"/>
        </w:rPr>
        <w:t>、物料计划管理、仓储管理等，</w:t>
      </w:r>
      <w:r w:rsidRPr="005B6769">
        <w:rPr>
          <w:rFonts w:ascii="微软雅黑" w:eastAsia="微软雅黑" w:hAnsi="微软雅黑" w:hint="eastAsia"/>
          <w:szCs w:val="21"/>
        </w:rPr>
        <w:t>曾但任联想电脑事业部运营管理经理</w:t>
      </w:r>
      <w:r>
        <w:rPr>
          <w:rFonts w:ascii="微软雅黑" w:eastAsia="微软雅黑" w:hAnsi="微软雅黑" w:hint="eastAsia"/>
          <w:szCs w:val="21"/>
        </w:rPr>
        <w:t>；</w:t>
      </w:r>
      <w:r w:rsidRPr="005B6769">
        <w:rPr>
          <w:rFonts w:ascii="微软雅黑" w:eastAsia="微软雅黑" w:hAnsi="微软雅黑" w:hint="eastAsia"/>
          <w:szCs w:val="21"/>
        </w:rPr>
        <w:t>篱笆网电子商务采购物流总监</w:t>
      </w:r>
      <w:r>
        <w:rPr>
          <w:rFonts w:ascii="微软雅黑" w:eastAsia="微软雅黑" w:hAnsi="微软雅黑" w:hint="eastAsia"/>
          <w:szCs w:val="21"/>
        </w:rPr>
        <w:t>。</w:t>
      </w:r>
    </w:p>
    <w:p w14:paraId="00E8A7C8" w14:textId="77777777" w:rsidR="00251D5D" w:rsidRPr="00082D26" w:rsidRDefault="00251D5D" w:rsidP="00251D5D">
      <w:pPr>
        <w:widowControl/>
        <w:adjustRightInd w:val="0"/>
        <w:snapToGrid w:val="0"/>
        <w:spacing w:line="276" w:lineRule="auto"/>
        <w:ind w:firstLine="420"/>
        <w:jc w:val="left"/>
        <w:rPr>
          <w:rFonts w:ascii="微软雅黑" w:eastAsia="微软雅黑" w:hAnsi="微软雅黑"/>
          <w:szCs w:val="21"/>
        </w:rPr>
      </w:pPr>
      <w:r w:rsidRPr="005B6769">
        <w:rPr>
          <w:rFonts w:ascii="微软雅黑" w:eastAsia="微软雅黑" w:hAnsi="微软雅黑" w:hint="eastAsia"/>
          <w:szCs w:val="21"/>
        </w:rPr>
        <w:t>目前，夏老师每年会负责2~3个公司级的大项目，帮助公司在“供应链”方面不断优化流程和成本，提高运营效率。通过多年的工作经历和项目实施，熟悉整个供应链的流程和实际操作，对供应链管理有着深刻的认识和理解</w:t>
      </w:r>
      <w:r w:rsidRPr="00082D26">
        <w:rPr>
          <w:rFonts w:ascii="微软雅黑" w:eastAsia="微软雅黑" w:hAnsi="微软雅黑" w:hint="eastAsia"/>
          <w:szCs w:val="21"/>
        </w:rPr>
        <w:t>。</w:t>
      </w:r>
    </w:p>
    <w:p w14:paraId="7879521C" w14:textId="77777777" w:rsidR="00251D5D" w:rsidRPr="00082D26" w:rsidRDefault="00251D5D" w:rsidP="00251D5D">
      <w:pPr>
        <w:adjustRightInd w:val="0"/>
        <w:snapToGrid w:val="0"/>
        <w:spacing w:line="276" w:lineRule="auto"/>
        <w:jc w:val="left"/>
        <w:rPr>
          <w:rFonts w:ascii="微软雅黑" w:eastAsia="微软雅黑" w:hAnsi="微软雅黑" w:cs="宋体"/>
          <w:b/>
          <w:color w:val="C00000"/>
          <w:kern w:val="0"/>
          <w:sz w:val="24"/>
          <w:szCs w:val="24"/>
        </w:rPr>
      </w:pPr>
      <w:r w:rsidRPr="00082D26">
        <w:rPr>
          <w:rFonts w:ascii="微软雅黑" w:eastAsia="微软雅黑" w:hAnsi="微软雅黑" w:cs="宋体" w:hint="eastAsia"/>
          <w:b/>
          <w:color w:val="C00000"/>
          <w:kern w:val="0"/>
          <w:sz w:val="24"/>
          <w:szCs w:val="24"/>
        </w:rPr>
        <w:t>风格与特点：</w:t>
      </w:r>
    </w:p>
    <w:p w14:paraId="614FEDB0" w14:textId="77777777" w:rsidR="00251D5D" w:rsidRPr="00082D26" w:rsidRDefault="00251D5D" w:rsidP="00251D5D">
      <w:pPr>
        <w:widowControl/>
        <w:adjustRightInd w:val="0"/>
        <w:snapToGrid w:val="0"/>
        <w:spacing w:line="276" w:lineRule="auto"/>
        <w:ind w:firstLine="420"/>
        <w:jc w:val="left"/>
        <w:rPr>
          <w:rFonts w:ascii="微软雅黑" w:eastAsia="微软雅黑" w:hAnsi="微软雅黑"/>
          <w:szCs w:val="21"/>
        </w:rPr>
      </w:pPr>
      <w:r>
        <w:rPr>
          <w:rFonts w:ascii="微软雅黑" w:eastAsia="微软雅黑" w:hAnsi="微软雅黑" w:hint="eastAsia"/>
          <w:szCs w:val="21"/>
        </w:rPr>
        <w:t>夏老师</w:t>
      </w:r>
      <w:r w:rsidRPr="005B6769">
        <w:rPr>
          <w:rFonts w:ascii="微软雅黑" w:eastAsia="微软雅黑" w:hAnsi="微软雅黑" w:hint="eastAsia"/>
          <w:szCs w:val="21"/>
        </w:rPr>
        <w:t>在加拿大工作多年，从事软件开发、运营数据挖掘等工作，对于供应链的高科技管理手段有第一手的经验与理解。夏老师理论基础扎实、专业经验丰富、工作履历全面、业务思想超前，能够融会贯通多部门之间的操作与联系，跨越制造、零售、IT服务等多个行业的界限，深入浅出地讲解各种先进供应链操作的应用与理论要领。由于履历丰富，夏老师不仅熟悉世界500强企业的工作环境，也深刻地了解中小民营企业、互联网企业的运营特征，课程内容贴近企业现实、切合学员个人发展的实际诉求</w:t>
      </w:r>
      <w:r>
        <w:rPr>
          <w:rFonts w:ascii="微软雅黑" w:eastAsia="微软雅黑" w:hAnsi="微软雅黑" w:hint="eastAsia"/>
          <w:szCs w:val="21"/>
        </w:rPr>
        <w:t>。</w:t>
      </w:r>
    </w:p>
    <w:p w14:paraId="525E6582" w14:textId="77777777" w:rsidR="00251D5D" w:rsidRDefault="00251D5D" w:rsidP="00251D5D">
      <w:pPr>
        <w:widowControl/>
        <w:adjustRightInd w:val="0"/>
        <w:snapToGrid w:val="0"/>
        <w:spacing w:line="276" w:lineRule="auto"/>
        <w:jc w:val="left"/>
        <w:rPr>
          <w:rFonts w:ascii="微软雅黑" w:eastAsia="微软雅黑" w:hAnsi="微软雅黑" w:cs="宋体"/>
          <w:b/>
          <w:color w:val="C00000"/>
          <w:kern w:val="0"/>
          <w:sz w:val="24"/>
          <w:szCs w:val="24"/>
        </w:rPr>
      </w:pPr>
      <w:r w:rsidRPr="005B6769">
        <w:rPr>
          <w:rFonts w:ascii="微软雅黑" w:eastAsia="微软雅黑" w:hAnsi="微软雅黑" w:cs="宋体" w:hint="eastAsia"/>
          <w:b/>
          <w:color w:val="C00000"/>
          <w:kern w:val="0"/>
          <w:sz w:val="24"/>
          <w:szCs w:val="24"/>
        </w:rPr>
        <w:t>咨询项目：</w:t>
      </w:r>
    </w:p>
    <w:p w14:paraId="0A690DA3" w14:textId="027AB014" w:rsidR="00251D5D" w:rsidRDefault="00251D5D" w:rsidP="00251D5D">
      <w:pPr>
        <w:widowControl/>
        <w:adjustRightInd w:val="0"/>
        <w:snapToGrid w:val="0"/>
        <w:spacing w:line="276" w:lineRule="auto"/>
        <w:ind w:firstLine="420"/>
        <w:jc w:val="left"/>
        <w:rPr>
          <w:rFonts w:ascii="微软雅黑" w:eastAsia="微软雅黑" w:hAnsi="微软雅黑" w:cs="宋体"/>
          <w:color w:val="000000"/>
          <w:kern w:val="0"/>
          <w:szCs w:val="21"/>
        </w:rPr>
      </w:pPr>
      <w:r w:rsidRPr="005B6769">
        <w:rPr>
          <w:rFonts w:ascii="微软雅黑" w:eastAsia="微软雅黑" w:hAnsi="微软雅黑" w:cs="宋体" w:hint="eastAsia"/>
          <w:color w:val="000000"/>
          <w:kern w:val="0"/>
          <w:szCs w:val="21"/>
        </w:rPr>
        <w:t>作为培训讲师和咨询师，夏老师曾为鱼跃医疗、上海大众、华晨宝马、福特马自达、马牌轮胎、上海医药集团、德尔格医疗、贝朗医疗、可口可乐、阿里巴巴、食行生鲜、台湾冠捷（AOC）集团、厦门太古飞机维修公司、金润万家、阿特拉斯等知名国内外企业主持过的多个培训和咨询项目</w:t>
      </w:r>
      <w:r>
        <w:rPr>
          <w:rFonts w:ascii="微软雅黑" w:eastAsia="微软雅黑" w:hAnsi="微软雅黑" w:cs="宋体" w:hint="eastAsia"/>
          <w:color w:val="000000"/>
          <w:kern w:val="0"/>
          <w:szCs w:val="21"/>
        </w:rPr>
        <w:t>。</w:t>
      </w:r>
    </w:p>
    <w:p w14:paraId="45E78DDB" w14:textId="135EA4CE" w:rsidR="008A27D3" w:rsidRPr="008A27D3" w:rsidRDefault="00607A59" w:rsidP="00607A59">
      <w:pPr>
        <w:widowControl/>
        <w:adjustRightInd w:val="0"/>
        <w:snapToGrid w:val="0"/>
        <w:spacing w:line="276" w:lineRule="auto"/>
        <w:jc w:val="left"/>
        <w:rPr>
          <w:rFonts w:ascii="微软雅黑" w:eastAsia="微软雅黑" w:hAnsi="微软雅黑" w:cs="宋体"/>
          <w:color w:val="000000"/>
          <w:kern w:val="0"/>
          <w:szCs w:val="21"/>
        </w:rPr>
      </w:pPr>
      <w:r w:rsidRPr="00607A59">
        <w:rPr>
          <w:rFonts w:ascii="微软雅黑" w:eastAsia="微软雅黑" w:hAnsi="微软雅黑" w:cs="宋体" w:hint="eastAsia"/>
          <w:b/>
          <w:color w:val="C00000"/>
          <w:kern w:val="0"/>
          <w:sz w:val="24"/>
          <w:szCs w:val="24"/>
        </w:rPr>
        <w:t>主讲课程：</w:t>
      </w:r>
      <w:r w:rsidR="008A27D3" w:rsidRPr="008A27D3">
        <w:rPr>
          <w:rFonts w:ascii="微软雅黑" w:eastAsia="微软雅黑" w:hAnsi="微软雅黑" w:cs="宋体" w:hint="eastAsia"/>
          <w:color w:val="000000"/>
          <w:kern w:val="0"/>
          <w:szCs w:val="21"/>
        </w:rPr>
        <w:t>《</w:t>
      </w:r>
      <w:r w:rsidRPr="00607A59">
        <w:rPr>
          <w:rFonts w:ascii="微软雅黑" w:eastAsia="微软雅黑" w:hAnsi="微软雅黑" w:cs="宋体" w:hint="eastAsia"/>
          <w:color w:val="000000"/>
          <w:kern w:val="0"/>
          <w:szCs w:val="21"/>
        </w:rPr>
        <w:t>CPSM模块二：供应管理整合</w:t>
      </w:r>
      <w:r w:rsidR="008A27D3">
        <w:rPr>
          <w:rFonts w:ascii="微软雅黑" w:eastAsia="微软雅黑" w:hAnsi="微软雅黑" w:cs="宋体" w:hint="eastAsia"/>
          <w:color w:val="000000"/>
          <w:kern w:val="0"/>
          <w:szCs w:val="21"/>
        </w:rPr>
        <w:t>》</w:t>
      </w:r>
      <w:r w:rsidRPr="00607A59">
        <w:rPr>
          <w:rFonts w:ascii="微软雅黑" w:eastAsia="微软雅黑" w:hAnsi="微软雅黑" w:cs="宋体" w:hint="eastAsia"/>
          <w:color w:val="000000"/>
          <w:kern w:val="0"/>
          <w:szCs w:val="21"/>
        </w:rPr>
        <w:t>、</w:t>
      </w:r>
      <w:r w:rsidR="008A27D3">
        <w:rPr>
          <w:rFonts w:ascii="微软雅黑" w:eastAsia="微软雅黑" w:hAnsi="微软雅黑" w:cs="宋体" w:hint="eastAsia"/>
          <w:color w:val="000000"/>
          <w:kern w:val="0"/>
          <w:szCs w:val="21"/>
        </w:rPr>
        <w:t>《S</w:t>
      </w:r>
      <w:r w:rsidR="008A27D3">
        <w:rPr>
          <w:rFonts w:ascii="微软雅黑" w:eastAsia="微软雅黑" w:hAnsi="微软雅黑" w:cs="宋体"/>
          <w:color w:val="000000"/>
          <w:kern w:val="0"/>
          <w:szCs w:val="21"/>
        </w:rPr>
        <w:t>CMP</w:t>
      </w:r>
      <w:r w:rsidR="008A27D3" w:rsidRPr="008A27D3">
        <w:rPr>
          <w:rFonts w:ascii="微软雅黑" w:eastAsia="微软雅黑" w:hAnsi="微软雅黑" w:cs="宋体" w:hint="eastAsia"/>
          <w:color w:val="000000"/>
          <w:kern w:val="0"/>
          <w:szCs w:val="21"/>
        </w:rPr>
        <w:t>：M2供应链管理规划</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敏捷供应链与物流管理</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PMC需求预测、生产计划与物料控制</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供应链S&amp;OP生产计划与物料控制PMC</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供应、生产、销售、物流一体化</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采购订单、供应商交期与库存管理</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现代仓储管理与库存控制</w:t>
      </w:r>
      <w:r w:rsidR="008A27D3">
        <w:rPr>
          <w:rFonts w:ascii="微软雅黑" w:eastAsia="微软雅黑" w:hAnsi="微软雅黑" w:cs="宋体" w:hint="eastAsia"/>
          <w:color w:val="000000"/>
          <w:kern w:val="0"/>
          <w:szCs w:val="21"/>
        </w:rPr>
        <w:t>》</w:t>
      </w:r>
    </w:p>
    <w:p w14:paraId="6885E5BB" w14:textId="77777777" w:rsidR="00C7605E" w:rsidRPr="0055517B" w:rsidRDefault="00C7605E" w:rsidP="0055517B">
      <w:pPr>
        <w:rPr>
          <w:rFonts w:hint="eastAsia"/>
        </w:rPr>
      </w:pPr>
    </w:p>
    <w:sectPr w:rsidR="00C7605E" w:rsidRPr="0055517B" w:rsidSect="004F081E">
      <w:headerReference w:type="default" r:id="rId8"/>
      <w:footerReference w:type="default" r:id="rId9"/>
      <w:type w:val="continuous"/>
      <w:pgSz w:w="11906" w:h="16838"/>
      <w:pgMar w:top="1440" w:right="1080" w:bottom="1440" w:left="1080" w:header="79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DCDC" w14:textId="77777777" w:rsidR="00F36EC1" w:rsidRDefault="00F36EC1" w:rsidP="00B8260A">
      <w:r>
        <w:separator/>
      </w:r>
    </w:p>
  </w:endnote>
  <w:endnote w:type="continuationSeparator" w:id="0">
    <w:p w14:paraId="4954D184" w14:textId="77777777" w:rsidR="00F36EC1" w:rsidRDefault="00F36EC1"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FF6" w14:textId="77777777" w:rsidR="0082379D" w:rsidRDefault="0082379D" w:rsidP="0082379D">
    <w:pPr>
      <w:pStyle w:val="a6"/>
      <w:jc w:val="center"/>
    </w:pPr>
    <w:r>
      <w:rPr>
        <w:noProof/>
      </w:rPr>
      <mc:AlternateContent>
        <mc:Choice Requires="wps">
          <w:drawing>
            <wp:anchor distT="0" distB="0" distL="114300" distR="114300" simplePos="0" relativeHeight="251660288" behindDoc="0" locked="0" layoutInCell="1" allowOverlap="1" wp14:anchorId="50077BCA" wp14:editId="4A24CAA0">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14:paraId="6DAC12BF" w14:textId="1196EAF3" w:rsidR="00241BA6" w:rsidRPr="0082379D" w:rsidRDefault="00241BA6" w:rsidP="00BA5174">
    <w:pPr>
      <w:pStyle w:val="a6"/>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60E5" w14:textId="77777777" w:rsidR="00F36EC1" w:rsidRDefault="00F36EC1" w:rsidP="00B8260A">
      <w:r>
        <w:separator/>
      </w:r>
    </w:p>
  </w:footnote>
  <w:footnote w:type="continuationSeparator" w:id="0">
    <w:p w14:paraId="45B6918C" w14:textId="77777777" w:rsidR="00F36EC1" w:rsidRDefault="00F36EC1"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E27E" w14:textId="046EA800" w:rsidR="00A15E57" w:rsidRPr="0082379D" w:rsidRDefault="00682E9E" w:rsidP="00C746BF">
    <w:pPr>
      <w:pStyle w:val="a4"/>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AF213C"/>
    <w:multiLevelType w:val="singleLevel"/>
    <w:tmpl w:val="B0AF213C"/>
    <w:lvl w:ilvl="0">
      <w:start w:val="1"/>
      <w:numFmt w:val="decimal"/>
      <w:lvlText w:val="%1."/>
      <w:lvlJc w:val="left"/>
      <w:pPr>
        <w:ind w:left="425" w:hanging="425"/>
      </w:pPr>
      <w:rPr>
        <w:rFonts w:hint="default"/>
      </w:rPr>
    </w:lvl>
  </w:abstractNum>
  <w:abstractNum w:abstractNumId="1" w15:restartNumberingAfterBreak="0">
    <w:nsid w:val="F6370BAB"/>
    <w:multiLevelType w:val="singleLevel"/>
    <w:tmpl w:val="F6370BAB"/>
    <w:lvl w:ilvl="0">
      <w:start w:val="1"/>
      <w:numFmt w:val="decimal"/>
      <w:lvlText w:val="%1."/>
      <w:lvlJc w:val="left"/>
      <w:pPr>
        <w:ind w:left="425" w:hanging="425"/>
      </w:pPr>
      <w:rPr>
        <w:rFonts w:hint="default"/>
      </w:rPr>
    </w:lvl>
  </w:abstractNum>
  <w:abstractNum w:abstractNumId="2" w15:restartNumberingAfterBreak="0">
    <w:nsid w:val="F99325F3"/>
    <w:multiLevelType w:val="singleLevel"/>
    <w:tmpl w:val="F99325F3"/>
    <w:lvl w:ilvl="0">
      <w:start w:val="1"/>
      <w:numFmt w:val="decimal"/>
      <w:lvlText w:val="%1."/>
      <w:lvlJc w:val="left"/>
      <w:pPr>
        <w:ind w:left="425" w:hanging="425"/>
      </w:pPr>
      <w:rPr>
        <w:rFonts w:hint="default"/>
      </w:rPr>
    </w:lvl>
  </w:abstractNum>
  <w:abstractNum w:abstractNumId="3" w15:restartNumberingAfterBreak="0">
    <w:nsid w:val="0401FF99"/>
    <w:multiLevelType w:val="singleLevel"/>
    <w:tmpl w:val="0401FF99"/>
    <w:lvl w:ilvl="0">
      <w:start w:val="1"/>
      <w:numFmt w:val="bullet"/>
      <w:lvlText w:val=""/>
      <w:lvlJc w:val="left"/>
      <w:pPr>
        <w:ind w:left="420" w:hanging="420"/>
      </w:pPr>
      <w:rPr>
        <w:rFonts w:ascii="Wingdings" w:hAnsi="Wingdings" w:hint="default"/>
      </w:rPr>
    </w:lvl>
  </w:abstractNum>
  <w:abstractNum w:abstractNumId="4" w15:restartNumberingAfterBreak="0">
    <w:nsid w:val="055398CB"/>
    <w:multiLevelType w:val="singleLevel"/>
    <w:tmpl w:val="055398CB"/>
    <w:lvl w:ilvl="0">
      <w:start w:val="1"/>
      <w:numFmt w:val="decimal"/>
      <w:lvlText w:val="%1."/>
      <w:lvlJc w:val="left"/>
      <w:pPr>
        <w:ind w:left="425" w:hanging="425"/>
      </w:pPr>
      <w:rPr>
        <w:rFonts w:hint="default"/>
      </w:rPr>
    </w:lvl>
  </w:abstractNum>
  <w:abstractNum w:abstractNumId="5" w15:restartNumberingAfterBreak="0">
    <w:nsid w:val="0D220A69"/>
    <w:multiLevelType w:val="singleLevel"/>
    <w:tmpl w:val="0D220A69"/>
    <w:lvl w:ilvl="0">
      <w:start w:val="1"/>
      <w:numFmt w:val="bullet"/>
      <w:lvlText w:val=""/>
      <w:lvlJc w:val="left"/>
      <w:pPr>
        <w:ind w:left="420" w:hanging="420"/>
      </w:pPr>
      <w:rPr>
        <w:rFonts w:ascii="Wingdings" w:hAnsi="Wingdings" w:hint="default"/>
      </w:rPr>
    </w:lvl>
  </w:abstractNum>
  <w:abstractNum w:abstractNumId="6" w15:restartNumberingAfterBreak="0">
    <w:nsid w:val="1AAD1023"/>
    <w:multiLevelType w:val="hybridMultilevel"/>
    <w:tmpl w:val="908A66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91295E"/>
    <w:multiLevelType w:val="hybridMultilevel"/>
    <w:tmpl w:val="569AD74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A94894"/>
    <w:multiLevelType w:val="hybridMultilevel"/>
    <w:tmpl w:val="3524FB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D31DC5"/>
    <w:multiLevelType w:val="hybridMultilevel"/>
    <w:tmpl w:val="ADBA5910"/>
    <w:lvl w:ilvl="0" w:tplc="0409000D">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15:restartNumberingAfterBreak="0">
    <w:nsid w:val="36FC2117"/>
    <w:multiLevelType w:val="multilevel"/>
    <w:tmpl w:val="A3683442"/>
    <w:lvl w:ilvl="0">
      <w:start w:val="1"/>
      <w:numFmt w:val="japaneseCounting"/>
      <w:lvlText w:val="%1、"/>
      <w:lvlJc w:val="left"/>
      <w:pPr>
        <w:ind w:left="450" w:hanging="450"/>
      </w:pPr>
      <w:rPr>
        <w:rFonts w:hAnsi="Arial"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A5CA877"/>
    <w:multiLevelType w:val="singleLevel"/>
    <w:tmpl w:val="4A5CA877"/>
    <w:lvl w:ilvl="0">
      <w:start w:val="1"/>
      <w:numFmt w:val="decimal"/>
      <w:lvlText w:val="%1."/>
      <w:lvlJc w:val="left"/>
      <w:pPr>
        <w:ind w:left="425" w:hanging="425"/>
      </w:pPr>
      <w:rPr>
        <w:rFonts w:hint="default"/>
      </w:rPr>
    </w:lvl>
  </w:abstractNum>
  <w:abstractNum w:abstractNumId="12" w15:restartNumberingAfterBreak="0">
    <w:nsid w:val="50BC07EB"/>
    <w:multiLevelType w:val="hybridMultilevel"/>
    <w:tmpl w:val="C75ED5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A31A0F"/>
    <w:multiLevelType w:val="hybridMultilevel"/>
    <w:tmpl w:val="E9248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DC64858"/>
    <w:multiLevelType w:val="hybridMultilevel"/>
    <w:tmpl w:val="2272FB3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9676605"/>
    <w:multiLevelType w:val="singleLevel"/>
    <w:tmpl w:val="69676605"/>
    <w:lvl w:ilvl="0">
      <w:start w:val="1"/>
      <w:numFmt w:val="decimal"/>
      <w:lvlText w:val="%1."/>
      <w:lvlJc w:val="left"/>
      <w:pPr>
        <w:ind w:left="425" w:hanging="425"/>
      </w:pPr>
      <w:rPr>
        <w:rFonts w:hint="default"/>
      </w:rPr>
    </w:lvl>
  </w:abstractNum>
  <w:abstractNum w:abstractNumId="16" w15:restartNumberingAfterBreak="0">
    <w:nsid w:val="697B10C2"/>
    <w:multiLevelType w:val="singleLevel"/>
    <w:tmpl w:val="697B10C2"/>
    <w:lvl w:ilvl="0">
      <w:start w:val="1"/>
      <w:numFmt w:val="bullet"/>
      <w:lvlText w:val=""/>
      <w:lvlJc w:val="left"/>
      <w:pPr>
        <w:ind w:left="420" w:hanging="420"/>
      </w:pPr>
      <w:rPr>
        <w:rFonts w:ascii="Wingdings" w:hAnsi="Wingdings" w:hint="default"/>
      </w:rPr>
    </w:lvl>
  </w:abstractNum>
  <w:abstractNum w:abstractNumId="17" w15:restartNumberingAfterBreak="0">
    <w:nsid w:val="6C18E468"/>
    <w:multiLevelType w:val="singleLevel"/>
    <w:tmpl w:val="6C18E468"/>
    <w:lvl w:ilvl="0">
      <w:start w:val="1"/>
      <w:numFmt w:val="decimal"/>
      <w:lvlText w:val="%1."/>
      <w:lvlJc w:val="left"/>
      <w:pPr>
        <w:ind w:left="425" w:hanging="425"/>
      </w:pPr>
      <w:rPr>
        <w:rFonts w:hint="default"/>
      </w:rPr>
    </w:lvl>
  </w:abstractNum>
  <w:abstractNum w:abstractNumId="18" w15:restartNumberingAfterBreak="0">
    <w:nsid w:val="6C536ABF"/>
    <w:multiLevelType w:val="hybridMultilevel"/>
    <w:tmpl w:val="E3280CB8"/>
    <w:lvl w:ilvl="0" w:tplc="0409000D">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9" w15:restartNumberingAfterBreak="0">
    <w:nsid w:val="73B83D96"/>
    <w:multiLevelType w:val="hybridMultilevel"/>
    <w:tmpl w:val="D97CEB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B351D4"/>
    <w:multiLevelType w:val="multilevel"/>
    <w:tmpl w:val="CE90E888"/>
    <w:lvl w:ilvl="0">
      <w:start w:val="1"/>
      <w:numFmt w:val="decimal"/>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78850F9"/>
    <w:multiLevelType w:val="singleLevel"/>
    <w:tmpl w:val="778850F9"/>
    <w:lvl w:ilvl="0">
      <w:start w:val="1"/>
      <w:numFmt w:val="bullet"/>
      <w:lvlText w:val=""/>
      <w:lvlJc w:val="left"/>
      <w:pPr>
        <w:ind w:left="420" w:hanging="420"/>
      </w:pPr>
      <w:rPr>
        <w:rFonts w:ascii="Wingdings" w:hAnsi="Wingdings" w:hint="default"/>
      </w:rPr>
    </w:lvl>
  </w:abstractNum>
  <w:abstractNum w:abstractNumId="22" w15:restartNumberingAfterBreak="0">
    <w:nsid w:val="7B27633F"/>
    <w:multiLevelType w:val="hybridMultilevel"/>
    <w:tmpl w:val="5F8863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3"/>
  </w:num>
  <w:num w:numId="3">
    <w:abstractNumId w:val="12"/>
  </w:num>
  <w:num w:numId="4">
    <w:abstractNumId w:val="22"/>
  </w:num>
  <w:num w:numId="5">
    <w:abstractNumId w:val="19"/>
  </w:num>
  <w:num w:numId="6">
    <w:abstractNumId w:val="8"/>
  </w:num>
  <w:num w:numId="7">
    <w:abstractNumId w:val="7"/>
  </w:num>
  <w:num w:numId="8">
    <w:abstractNumId w:val="14"/>
  </w:num>
  <w:num w:numId="9">
    <w:abstractNumId w:val="10"/>
  </w:num>
  <w:num w:numId="10">
    <w:abstractNumId w:val="0"/>
  </w:num>
  <w:num w:numId="11">
    <w:abstractNumId w:val="15"/>
  </w:num>
  <w:num w:numId="12">
    <w:abstractNumId w:val="2"/>
  </w:num>
  <w:num w:numId="13">
    <w:abstractNumId w:val="3"/>
  </w:num>
  <w:num w:numId="14">
    <w:abstractNumId w:val="21"/>
  </w:num>
  <w:num w:numId="15">
    <w:abstractNumId w:val="1"/>
  </w:num>
  <w:num w:numId="16">
    <w:abstractNumId w:val="5"/>
  </w:num>
  <w:num w:numId="17">
    <w:abstractNumId w:val="11"/>
  </w:num>
  <w:num w:numId="18">
    <w:abstractNumId w:val="4"/>
  </w:num>
  <w:num w:numId="19">
    <w:abstractNumId w:val="17"/>
  </w:num>
  <w:num w:numId="20">
    <w:abstractNumId w:val="16"/>
  </w:num>
  <w:num w:numId="21">
    <w:abstractNumId w:val="20"/>
  </w:num>
  <w:num w:numId="22">
    <w:abstractNumId w:val="9"/>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627BA"/>
    <w:rsid w:val="00071C56"/>
    <w:rsid w:val="00083ED4"/>
    <w:rsid w:val="000A112E"/>
    <w:rsid w:val="000B44B1"/>
    <w:rsid w:val="000C33E6"/>
    <w:rsid w:val="00102B76"/>
    <w:rsid w:val="001069A4"/>
    <w:rsid w:val="00134B12"/>
    <w:rsid w:val="001606E1"/>
    <w:rsid w:val="001622F5"/>
    <w:rsid w:val="00164A6A"/>
    <w:rsid w:val="001B5862"/>
    <w:rsid w:val="001D12A5"/>
    <w:rsid w:val="001F1AD9"/>
    <w:rsid w:val="001F6D43"/>
    <w:rsid w:val="002175C8"/>
    <w:rsid w:val="00225A65"/>
    <w:rsid w:val="00241BA6"/>
    <w:rsid w:val="00251D5D"/>
    <w:rsid w:val="00261A3B"/>
    <w:rsid w:val="0026298F"/>
    <w:rsid w:val="002750B4"/>
    <w:rsid w:val="002A16D8"/>
    <w:rsid w:val="002A19A3"/>
    <w:rsid w:val="002D1F68"/>
    <w:rsid w:val="0031472C"/>
    <w:rsid w:val="003306F1"/>
    <w:rsid w:val="00371CF4"/>
    <w:rsid w:val="003746FB"/>
    <w:rsid w:val="00384686"/>
    <w:rsid w:val="003A76E5"/>
    <w:rsid w:val="003D1ED1"/>
    <w:rsid w:val="003D717B"/>
    <w:rsid w:val="003E6A42"/>
    <w:rsid w:val="003E78DF"/>
    <w:rsid w:val="00401FB8"/>
    <w:rsid w:val="00416601"/>
    <w:rsid w:val="00420E18"/>
    <w:rsid w:val="00424E37"/>
    <w:rsid w:val="00432BF6"/>
    <w:rsid w:val="0044672A"/>
    <w:rsid w:val="00471EC3"/>
    <w:rsid w:val="00490CD2"/>
    <w:rsid w:val="00496260"/>
    <w:rsid w:val="004C446E"/>
    <w:rsid w:val="004E00AD"/>
    <w:rsid w:val="004E463B"/>
    <w:rsid w:val="004F081E"/>
    <w:rsid w:val="005004AF"/>
    <w:rsid w:val="00501763"/>
    <w:rsid w:val="00505AE0"/>
    <w:rsid w:val="00515CAE"/>
    <w:rsid w:val="005340BA"/>
    <w:rsid w:val="00536DB1"/>
    <w:rsid w:val="0055517B"/>
    <w:rsid w:val="00570860"/>
    <w:rsid w:val="00584644"/>
    <w:rsid w:val="005A4A72"/>
    <w:rsid w:val="005B52E3"/>
    <w:rsid w:val="005B5B12"/>
    <w:rsid w:val="005C25DA"/>
    <w:rsid w:val="005C4E00"/>
    <w:rsid w:val="005C78A7"/>
    <w:rsid w:val="005D1EF6"/>
    <w:rsid w:val="005E3A9C"/>
    <w:rsid w:val="00600D37"/>
    <w:rsid w:val="00607A59"/>
    <w:rsid w:val="00635948"/>
    <w:rsid w:val="0065484B"/>
    <w:rsid w:val="006655E9"/>
    <w:rsid w:val="006828A4"/>
    <w:rsid w:val="00682E9E"/>
    <w:rsid w:val="00683B42"/>
    <w:rsid w:val="00697330"/>
    <w:rsid w:val="006A55B7"/>
    <w:rsid w:val="006C04A3"/>
    <w:rsid w:val="006D7571"/>
    <w:rsid w:val="006F5E7F"/>
    <w:rsid w:val="007059EA"/>
    <w:rsid w:val="00736ACF"/>
    <w:rsid w:val="007650E1"/>
    <w:rsid w:val="0079120E"/>
    <w:rsid w:val="007A185C"/>
    <w:rsid w:val="007A64C9"/>
    <w:rsid w:val="007D14D0"/>
    <w:rsid w:val="007F1104"/>
    <w:rsid w:val="008167DB"/>
    <w:rsid w:val="0082379D"/>
    <w:rsid w:val="00876504"/>
    <w:rsid w:val="0088365F"/>
    <w:rsid w:val="008A27D3"/>
    <w:rsid w:val="008B0F0C"/>
    <w:rsid w:val="008B2DC2"/>
    <w:rsid w:val="008C3AFE"/>
    <w:rsid w:val="00913A6F"/>
    <w:rsid w:val="00923EE9"/>
    <w:rsid w:val="00931B09"/>
    <w:rsid w:val="009501A1"/>
    <w:rsid w:val="0095034C"/>
    <w:rsid w:val="009638D5"/>
    <w:rsid w:val="00975E7B"/>
    <w:rsid w:val="00984D51"/>
    <w:rsid w:val="00993897"/>
    <w:rsid w:val="00994B3F"/>
    <w:rsid w:val="009953B9"/>
    <w:rsid w:val="0099768E"/>
    <w:rsid w:val="009B7A0B"/>
    <w:rsid w:val="009D49F6"/>
    <w:rsid w:val="00A06794"/>
    <w:rsid w:val="00A15E57"/>
    <w:rsid w:val="00A21921"/>
    <w:rsid w:val="00A5705C"/>
    <w:rsid w:val="00A64C11"/>
    <w:rsid w:val="00A767DA"/>
    <w:rsid w:val="00AB1EA4"/>
    <w:rsid w:val="00AE19B9"/>
    <w:rsid w:val="00B24596"/>
    <w:rsid w:val="00B43B7D"/>
    <w:rsid w:val="00B8260A"/>
    <w:rsid w:val="00B94EC9"/>
    <w:rsid w:val="00BA5174"/>
    <w:rsid w:val="00C0062A"/>
    <w:rsid w:val="00C04A6C"/>
    <w:rsid w:val="00C32618"/>
    <w:rsid w:val="00C32DBF"/>
    <w:rsid w:val="00C54DA0"/>
    <w:rsid w:val="00C64EE5"/>
    <w:rsid w:val="00C746BF"/>
    <w:rsid w:val="00C7605E"/>
    <w:rsid w:val="00C76D8B"/>
    <w:rsid w:val="00C7738E"/>
    <w:rsid w:val="00C86CC8"/>
    <w:rsid w:val="00CA5BBF"/>
    <w:rsid w:val="00CC40C7"/>
    <w:rsid w:val="00CE058D"/>
    <w:rsid w:val="00D00AB9"/>
    <w:rsid w:val="00D13EA2"/>
    <w:rsid w:val="00D20CBB"/>
    <w:rsid w:val="00D20DA6"/>
    <w:rsid w:val="00D278F1"/>
    <w:rsid w:val="00D3009B"/>
    <w:rsid w:val="00D74C55"/>
    <w:rsid w:val="00D9002F"/>
    <w:rsid w:val="00DE4F09"/>
    <w:rsid w:val="00DE7C16"/>
    <w:rsid w:val="00DF1338"/>
    <w:rsid w:val="00DF2248"/>
    <w:rsid w:val="00DF4191"/>
    <w:rsid w:val="00E24F0F"/>
    <w:rsid w:val="00E42D70"/>
    <w:rsid w:val="00E52B5D"/>
    <w:rsid w:val="00E71F62"/>
    <w:rsid w:val="00E81D12"/>
    <w:rsid w:val="00E84098"/>
    <w:rsid w:val="00E87069"/>
    <w:rsid w:val="00EB0444"/>
    <w:rsid w:val="00EB20C1"/>
    <w:rsid w:val="00EC64EA"/>
    <w:rsid w:val="00EF6A40"/>
    <w:rsid w:val="00F10CE7"/>
    <w:rsid w:val="00F20CF3"/>
    <w:rsid w:val="00F228E4"/>
    <w:rsid w:val="00F36EC1"/>
    <w:rsid w:val="00F40343"/>
    <w:rsid w:val="00F454BE"/>
    <w:rsid w:val="00F62CBE"/>
    <w:rsid w:val="00F83E43"/>
    <w:rsid w:val="00F9040B"/>
    <w:rsid w:val="00FA50A3"/>
    <w:rsid w:val="00FB3638"/>
    <w:rsid w:val="00FD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57B8"/>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iPriority w:val="99"/>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 w:type="character" w:styleId="a9">
    <w:name w:val="Unresolved Mention"/>
    <w:basedOn w:val="a0"/>
    <w:uiPriority w:val="99"/>
    <w:semiHidden/>
    <w:unhideWhenUsed/>
    <w:rsid w:val="00570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43E4-D7AC-5347-949F-F303CFFB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459</Words>
  <Characters>2619</Characters>
  <Application>Microsoft Office Word</Application>
  <DocSecurity>0</DocSecurity>
  <Lines>21</Lines>
  <Paragraphs>6</Paragraphs>
  <ScaleCrop>false</ScaleCrop>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105</cp:revision>
  <dcterms:created xsi:type="dcterms:W3CDTF">2020-11-09T02:30:00Z</dcterms:created>
  <dcterms:modified xsi:type="dcterms:W3CDTF">2021-12-06T02:05:00Z</dcterms:modified>
</cp:coreProperties>
</file>