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rFonts w:hint="eastAsia" w:ascii="微软雅黑" w:hAnsi="微软雅黑" w:eastAsia="微软雅黑" w:cs="微软雅黑"/>
          <w:b/>
          <w:color w:val="0000FF"/>
          <w:sz w:val="44"/>
        </w:rPr>
      </w:pPr>
      <w:r>
        <w:rPr>
          <w:rFonts w:hint="default" w:ascii="Times New Roman" w:hAnsi="Times New Roman" w:eastAsia="微软雅黑" w:cs="Times New Roman"/>
          <w:b/>
          <w:color w:val="0000FF"/>
          <w:sz w:val="44"/>
        </w:rPr>
        <w:t>基于核心胜任能力的STAR面试技巧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eastAsia="微软雅黑"/>
          <w:b/>
          <w:color w:val="000000"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培训时间</w:t>
      </w: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/地点</w:t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>
        <w:rPr>
          <w:rFonts w:eastAsia="微软雅黑"/>
          <w:b/>
          <w:color w:val="000000"/>
          <w:szCs w:val="21"/>
        </w:rPr>
        <w:t>20</w:t>
      </w:r>
      <w:r>
        <w:rPr>
          <w:rFonts w:hint="eastAsia" w:eastAsia="微软雅黑"/>
          <w:b/>
          <w:color w:val="000000"/>
          <w:szCs w:val="21"/>
        </w:rPr>
        <w:t>2</w:t>
      </w:r>
      <w:r>
        <w:rPr>
          <w:rFonts w:hint="eastAsia" w:eastAsia="微软雅黑"/>
          <w:b/>
          <w:color w:val="000000"/>
          <w:szCs w:val="21"/>
          <w:lang w:val="en-US" w:eastAsia="zh-CN"/>
        </w:rPr>
        <w:t>2</w:t>
      </w:r>
      <w:r>
        <w:rPr>
          <w:rFonts w:eastAsia="微软雅黑"/>
          <w:b/>
          <w:color w:val="000000"/>
          <w:szCs w:val="21"/>
        </w:rPr>
        <w:t>年</w:t>
      </w:r>
      <w:bookmarkStart w:id="0" w:name="_GoBack"/>
      <w:r>
        <w:rPr>
          <w:rFonts w:hint="eastAsia" w:eastAsia="微软雅黑"/>
          <w:b/>
          <w:color w:val="000000"/>
          <w:szCs w:val="21"/>
          <w:lang w:val="en-US" w:eastAsia="zh-CN"/>
        </w:rPr>
        <w:t>1</w:t>
      </w:r>
      <w:r>
        <w:rPr>
          <w:rFonts w:eastAsia="微软雅黑"/>
          <w:b/>
          <w:color w:val="000000"/>
          <w:szCs w:val="21"/>
        </w:rPr>
        <w:t>月</w:t>
      </w:r>
      <w:r>
        <w:rPr>
          <w:rFonts w:hint="eastAsia" w:eastAsia="微软雅黑"/>
          <w:b/>
          <w:color w:val="000000"/>
          <w:szCs w:val="21"/>
          <w:lang w:val="en-US" w:eastAsia="zh-CN"/>
        </w:rPr>
        <w:t>6</w:t>
      </w:r>
      <w:r>
        <w:rPr>
          <w:rFonts w:eastAsia="微软雅黑"/>
          <w:b/>
          <w:color w:val="000000"/>
          <w:szCs w:val="21"/>
        </w:rPr>
        <w:t>~</w:t>
      </w:r>
      <w:r>
        <w:rPr>
          <w:rFonts w:hint="eastAsia" w:eastAsia="微软雅黑"/>
          <w:b/>
          <w:color w:val="000000"/>
          <w:szCs w:val="21"/>
          <w:lang w:val="en-US" w:eastAsia="zh-CN"/>
        </w:rPr>
        <w:t>7</w:t>
      </w:r>
      <w:r>
        <w:rPr>
          <w:rFonts w:eastAsia="微软雅黑"/>
          <w:b/>
          <w:color w:val="000000"/>
          <w:szCs w:val="21"/>
        </w:rPr>
        <w:t>日（星期</w:t>
      </w:r>
      <w:r>
        <w:rPr>
          <w:rFonts w:hint="eastAsia" w:eastAsia="微软雅黑"/>
          <w:b/>
          <w:color w:val="000000"/>
          <w:szCs w:val="21"/>
          <w:lang w:eastAsia="zh-CN"/>
        </w:rPr>
        <w:t>四</w:t>
      </w:r>
      <w:r>
        <w:rPr>
          <w:rFonts w:hint="eastAsia" w:eastAsia="微软雅黑"/>
          <w:b/>
          <w:color w:val="000000"/>
          <w:szCs w:val="21"/>
        </w:rPr>
        <w:t xml:space="preserve"> </w:t>
      </w:r>
      <w:r>
        <w:rPr>
          <w:rFonts w:eastAsia="微软雅黑"/>
          <w:b/>
          <w:color w:val="000000"/>
          <w:szCs w:val="21"/>
        </w:rPr>
        <w:t>~</w:t>
      </w:r>
      <w:r>
        <w:rPr>
          <w:rFonts w:hint="eastAsia" w:eastAsia="微软雅黑"/>
          <w:b/>
          <w:color w:val="000000"/>
          <w:szCs w:val="21"/>
        </w:rPr>
        <w:t xml:space="preserve"> </w:t>
      </w:r>
      <w:r>
        <w:rPr>
          <w:rFonts w:eastAsia="微软雅黑"/>
          <w:b/>
          <w:color w:val="000000"/>
          <w:szCs w:val="21"/>
        </w:rPr>
        <w:t>星期</w:t>
      </w:r>
      <w:r>
        <w:rPr>
          <w:rFonts w:hint="eastAsia" w:eastAsia="微软雅黑"/>
          <w:b/>
          <w:color w:val="000000"/>
          <w:szCs w:val="21"/>
          <w:lang w:eastAsia="zh-CN"/>
        </w:rPr>
        <w:t>五</w:t>
      </w:r>
      <w:r>
        <w:rPr>
          <w:rFonts w:eastAsia="微软雅黑"/>
          <w:b/>
          <w:color w:val="000000"/>
          <w:szCs w:val="21"/>
        </w:rPr>
        <w:t>）</w:t>
      </w:r>
      <w:r>
        <w:rPr>
          <w:rFonts w:hint="eastAsia" w:eastAsia="微软雅黑"/>
          <w:b/>
          <w:color w:val="000000"/>
          <w:szCs w:val="21"/>
        </w:rPr>
        <w:t>/上 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1681" w:firstLineChars="800"/>
        <w:textAlignment w:val="auto"/>
        <w:rPr>
          <w:rFonts w:hint="eastAsia" w:eastAsia="微软雅黑"/>
          <w:b/>
          <w:color w:val="000000"/>
          <w:szCs w:val="21"/>
        </w:rPr>
      </w:pPr>
      <w:r>
        <w:rPr>
          <w:rFonts w:eastAsia="微软雅黑"/>
          <w:b/>
          <w:color w:val="000000"/>
          <w:szCs w:val="21"/>
        </w:rPr>
        <w:t>20</w:t>
      </w:r>
      <w:r>
        <w:rPr>
          <w:rFonts w:hint="eastAsia" w:eastAsia="微软雅黑"/>
          <w:b/>
          <w:color w:val="000000"/>
          <w:szCs w:val="21"/>
        </w:rPr>
        <w:t>2</w:t>
      </w:r>
      <w:r>
        <w:rPr>
          <w:rFonts w:hint="eastAsia" w:eastAsia="微软雅黑"/>
          <w:b/>
          <w:color w:val="000000"/>
          <w:szCs w:val="21"/>
          <w:lang w:val="en-US" w:eastAsia="zh-CN"/>
        </w:rPr>
        <w:t>2</w:t>
      </w:r>
      <w:r>
        <w:rPr>
          <w:rFonts w:eastAsia="微软雅黑"/>
          <w:b/>
          <w:color w:val="000000"/>
          <w:szCs w:val="21"/>
        </w:rPr>
        <w:t>年</w:t>
      </w:r>
      <w:r>
        <w:rPr>
          <w:rFonts w:hint="eastAsia" w:eastAsia="微软雅黑"/>
          <w:b/>
          <w:color w:val="000000"/>
          <w:szCs w:val="21"/>
          <w:lang w:val="en-US" w:eastAsia="zh-CN"/>
        </w:rPr>
        <w:t>8</w:t>
      </w:r>
      <w:r>
        <w:rPr>
          <w:rFonts w:eastAsia="微软雅黑"/>
          <w:b/>
          <w:color w:val="000000"/>
          <w:szCs w:val="21"/>
        </w:rPr>
        <w:t>月</w:t>
      </w:r>
      <w:r>
        <w:rPr>
          <w:rFonts w:hint="eastAsia" w:eastAsia="微软雅黑"/>
          <w:b/>
          <w:color w:val="000000"/>
          <w:szCs w:val="21"/>
          <w:lang w:val="en-US" w:eastAsia="zh-CN"/>
        </w:rPr>
        <w:t>23</w:t>
      </w:r>
      <w:r>
        <w:rPr>
          <w:rFonts w:eastAsia="微软雅黑"/>
          <w:b/>
          <w:color w:val="000000"/>
          <w:szCs w:val="21"/>
        </w:rPr>
        <w:t>~</w:t>
      </w:r>
      <w:r>
        <w:rPr>
          <w:rFonts w:hint="eastAsia" w:eastAsia="微软雅黑"/>
          <w:b/>
          <w:color w:val="000000"/>
          <w:szCs w:val="21"/>
          <w:lang w:val="en-US" w:eastAsia="zh-CN"/>
        </w:rPr>
        <w:t>24</w:t>
      </w:r>
      <w:r>
        <w:rPr>
          <w:rFonts w:eastAsia="微软雅黑"/>
          <w:b/>
          <w:color w:val="000000"/>
          <w:szCs w:val="21"/>
        </w:rPr>
        <w:t>日（星期</w:t>
      </w:r>
      <w:r>
        <w:rPr>
          <w:rFonts w:hint="eastAsia" w:eastAsia="微软雅黑"/>
          <w:b/>
          <w:color w:val="000000"/>
          <w:szCs w:val="21"/>
          <w:lang w:val="en-US" w:eastAsia="zh-CN"/>
        </w:rPr>
        <w:t>二</w:t>
      </w:r>
      <w:r>
        <w:rPr>
          <w:rFonts w:hint="eastAsia" w:eastAsia="微软雅黑"/>
          <w:b/>
          <w:color w:val="000000"/>
          <w:szCs w:val="21"/>
        </w:rPr>
        <w:t xml:space="preserve"> </w:t>
      </w:r>
      <w:r>
        <w:rPr>
          <w:rFonts w:eastAsia="微软雅黑"/>
          <w:b/>
          <w:color w:val="000000"/>
          <w:szCs w:val="21"/>
        </w:rPr>
        <w:t>~</w:t>
      </w:r>
      <w:r>
        <w:rPr>
          <w:rFonts w:hint="eastAsia" w:eastAsia="微软雅黑"/>
          <w:b/>
          <w:color w:val="000000"/>
          <w:szCs w:val="21"/>
        </w:rPr>
        <w:t xml:space="preserve"> </w:t>
      </w:r>
      <w:r>
        <w:rPr>
          <w:rFonts w:eastAsia="微软雅黑"/>
          <w:b/>
          <w:color w:val="000000"/>
          <w:szCs w:val="21"/>
        </w:rPr>
        <w:t>星期</w:t>
      </w:r>
      <w:r>
        <w:rPr>
          <w:rFonts w:hint="eastAsia" w:eastAsia="微软雅黑"/>
          <w:b/>
          <w:color w:val="000000"/>
          <w:szCs w:val="21"/>
          <w:lang w:val="en-US" w:eastAsia="zh-CN"/>
        </w:rPr>
        <w:t>三</w:t>
      </w:r>
      <w:r>
        <w:rPr>
          <w:rFonts w:eastAsia="微软雅黑"/>
          <w:b/>
          <w:color w:val="000000"/>
          <w:szCs w:val="21"/>
        </w:rPr>
        <w:t>）</w:t>
      </w:r>
      <w:r>
        <w:rPr>
          <w:rFonts w:hint="eastAsia" w:eastAsia="微软雅黑"/>
          <w:b/>
          <w:color w:val="000000"/>
          <w:szCs w:val="21"/>
        </w:rPr>
        <w:t>/上 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eastAsia="微软雅黑"/>
          <w:b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收费标准：</w:t>
      </w:r>
      <w:r>
        <w:rPr>
          <w:rFonts w:eastAsia="微软雅黑"/>
          <w:b/>
          <w:szCs w:val="21"/>
        </w:rPr>
        <w:t>￥</w:t>
      </w:r>
      <w:r>
        <w:rPr>
          <w:rFonts w:eastAsia="微软雅黑"/>
          <w:b/>
        </w:rPr>
        <w:t>4</w:t>
      </w:r>
      <w:r>
        <w:rPr>
          <w:rFonts w:hint="eastAsia" w:eastAsia="微软雅黑"/>
          <w:b/>
        </w:rPr>
        <w:t>2</w:t>
      </w:r>
      <w:r>
        <w:rPr>
          <w:rFonts w:eastAsia="微软雅黑"/>
          <w:b/>
        </w:rPr>
        <w:t>00</w:t>
      </w:r>
      <w:r>
        <w:rPr>
          <w:rFonts w:eastAsia="微软雅黑"/>
          <w:b/>
          <w:szCs w:val="21"/>
        </w:rPr>
        <w:t>/人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80" w:lineRule="exact"/>
        <w:ind w:left="562" w:leftChars="0" w:hanging="562" w:firstLineChars="0"/>
        <w:textAlignment w:val="auto"/>
        <w:rPr>
          <w:rFonts w:hint="eastAsia" w:eastAsia="微软雅黑"/>
        </w:rPr>
      </w:pPr>
      <w:r>
        <w:rPr>
          <w:rFonts w:eastAsia="微软雅黑"/>
        </w:rPr>
        <w:t>含授课费、证书费、资料费、午餐费、茶点费、会务费、税费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80" w:lineRule="exact"/>
        <w:ind w:left="562" w:leftChars="0" w:hanging="562" w:firstLineChars="0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不包含学员往返培训场地的交通费用、住宿费用，早餐及晚餐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课程目标：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eastAsia="微软雅黑"/>
          <w:szCs w:val="21"/>
        </w:rPr>
      </w:pPr>
      <w:r>
        <w:rPr>
          <w:rFonts w:eastAsia="微软雅黑"/>
          <w:szCs w:val="21"/>
        </w:rPr>
        <w:t>建立正确甄选与用人观念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eastAsia="微软雅黑"/>
          <w:szCs w:val="21"/>
        </w:rPr>
      </w:pPr>
      <w:r>
        <w:rPr>
          <w:rFonts w:eastAsia="微软雅黑"/>
          <w:szCs w:val="21"/>
        </w:rPr>
        <w:t>了解系统化人才甄选的流程步骤与要点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eastAsia="微软雅黑"/>
          <w:szCs w:val="21"/>
        </w:rPr>
      </w:pPr>
      <w:r>
        <w:rPr>
          <w:rFonts w:eastAsia="微软雅黑"/>
          <w:szCs w:val="21"/>
        </w:rPr>
        <w:t>掌握基于核心胜任能力的行为性STAR面试技巧与问题的设计技巧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eastAsia="微软雅黑"/>
          <w:szCs w:val="21"/>
        </w:rPr>
      </w:pPr>
      <w:r>
        <w:rPr>
          <w:rFonts w:eastAsia="微软雅黑"/>
          <w:szCs w:val="21"/>
        </w:rPr>
        <w:t>学习如何评鉴应征人员的方法，掌握有效的甄选面谈技巧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授课</w:t>
      </w: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形</w:t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式：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主题讲授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案例研讨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课堂练习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425" w:firstLineChars="0"/>
        <w:textAlignment w:val="auto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提问互动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eastAsia="微软雅黑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eastAsia="微软雅黑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微软雅黑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参训学员：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lang w:eastAsia="zh-CN"/>
        </w:rPr>
      </w:pPr>
      <w:r>
        <w:rPr>
          <w:rFonts w:hint="eastAsia" w:ascii="Times New Roman" w:hAnsi="Times New Roman" w:eastAsia="微软雅黑" w:cs="Times New Roman"/>
          <w:lang w:eastAsia="zh-CN"/>
        </w:rPr>
        <w:t>部门经理、HR、及所有参与招聘面试的人员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课程大纲：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adjustRightInd w:val="0"/>
        <w:snapToGrid/>
        <w:spacing w:line="480" w:lineRule="exact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人才配置与甄选的理念认知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845"/>
        <w:textAlignment w:val="auto"/>
        <w:rPr>
          <w:rFonts w:eastAsia="微软雅黑"/>
          <w:szCs w:val="21"/>
        </w:rPr>
      </w:pPr>
      <w:r>
        <w:rPr>
          <w:rFonts w:eastAsia="微软雅黑"/>
          <w:szCs w:val="21"/>
        </w:rPr>
        <w:t>木桶原理—人才配置的思维要点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845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人才甄选的两大核心基础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1260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人力资源规划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1260"/>
        <w:textAlignment w:val="auto"/>
        <w:rPr>
          <w:rFonts w:hint="eastAsia"/>
        </w:rPr>
      </w:pPr>
      <w:r>
        <w:rPr>
          <w:rFonts w:eastAsia="微软雅黑"/>
          <w:color w:val="000000"/>
          <w:szCs w:val="21"/>
        </w:rPr>
        <w:t>工作分析-任职资格与岗位核心能力界定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adjustRightInd w:val="0"/>
        <w:snapToGrid/>
        <w:spacing w:line="480" w:lineRule="exact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基于核心胜任能力的面试设计技巧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845"/>
        <w:textAlignment w:val="auto"/>
        <w:rPr>
          <w:rFonts w:eastAsia="微软雅黑"/>
          <w:szCs w:val="21"/>
        </w:rPr>
      </w:pPr>
      <w:r>
        <w:rPr>
          <w:rFonts w:eastAsia="微软雅黑"/>
          <w:szCs w:val="21"/>
        </w:rPr>
        <w:t>明确任职资格：学历、经历、岗位必备知识等（设计测评项目）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845"/>
        <w:textAlignment w:val="auto"/>
        <w:rPr>
          <w:rFonts w:eastAsia="微软雅黑"/>
          <w:szCs w:val="21"/>
        </w:rPr>
      </w:pPr>
      <w:r>
        <w:rPr>
          <w:rFonts w:eastAsia="微软雅黑"/>
          <w:szCs w:val="21"/>
        </w:rPr>
        <w:t>界定岗位核心胜任能力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1260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核心胜任能力起源与要点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1260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设计岗位胜任能力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1260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设定胜任能力行为评价要素与等级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1260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胜任能力能力锚定与任职资格匹配</w:t>
      </w:r>
      <w:r>
        <w:rPr>
          <w:rFonts w:eastAsia="微软雅黑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-531495</wp:posOffset>
                </wp:positionH>
                <wp:positionV relativeFrom="paragraph">
                  <wp:posOffset>-857250</wp:posOffset>
                </wp:positionV>
                <wp:extent cx="297815" cy="47561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47561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1.85pt;margin-top:-67.5pt;height:37.45pt;width:23.45pt;mso-wrap-style:none;z-index:251659264;mso-width-relative:page;mso-height-relative:page;" filled="f" stroked="f" coordsize="21600,21600" o:gfxdata="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TXfBPaAAAADAEAAA8AAAAAAAAAAQAgAAAAIgAAAGRycy9kb3ducmV2Lnht&#10;bFBLAQIUABQAAAAIAIdO4kBThodovgEAAGMDAAAOAAAAAAAAAAEAIAAAACkBAABkcnMvZTJvRG9j&#10;LnhtbFBLBQYAAAAABgAGAFkBAABZBQAAAAA=&#10;">
                <v:path/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adjustRightInd w:val="0"/>
        <w:snapToGrid/>
        <w:spacing w:line="480" w:lineRule="exact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招聘面试的主要方式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845"/>
        <w:textAlignment w:val="auto"/>
        <w:rPr>
          <w:rFonts w:eastAsia="微软雅黑"/>
          <w:szCs w:val="21"/>
        </w:rPr>
      </w:pPr>
      <w:r>
        <w:rPr>
          <w:rFonts w:eastAsia="微软雅黑"/>
          <w:szCs w:val="21"/>
        </w:rPr>
        <w:t>混合式面谈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845"/>
        <w:textAlignment w:val="auto"/>
        <w:rPr>
          <w:rFonts w:eastAsia="微软雅黑"/>
          <w:szCs w:val="21"/>
        </w:rPr>
      </w:pPr>
      <w:r>
        <w:rPr>
          <w:rFonts w:eastAsia="微软雅黑"/>
          <w:szCs w:val="21"/>
        </w:rPr>
        <w:t>集体式面谈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845"/>
        <w:textAlignment w:val="auto"/>
        <w:rPr>
          <w:rFonts w:eastAsia="微软雅黑"/>
          <w:szCs w:val="21"/>
        </w:rPr>
      </w:pPr>
      <w:r>
        <w:rPr>
          <w:rFonts w:eastAsia="微软雅黑"/>
          <w:szCs w:val="21"/>
        </w:rPr>
        <w:t>轮流式面谈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845"/>
        <w:textAlignment w:val="auto"/>
        <w:rPr>
          <w:rFonts w:eastAsia="微软雅黑"/>
          <w:szCs w:val="21"/>
        </w:rPr>
      </w:pPr>
      <w:r>
        <w:rPr>
          <w:rFonts w:eastAsia="微软雅黑"/>
          <w:szCs w:val="21"/>
        </w:rPr>
        <w:t>简报式面谈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adjustRightInd w:val="0"/>
        <w:snapToGrid/>
        <w:spacing w:line="480" w:lineRule="exact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面试前的准备工作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845"/>
        <w:textAlignment w:val="auto"/>
        <w:rPr>
          <w:rFonts w:eastAsia="微软雅黑"/>
          <w:szCs w:val="21"/>
        </w:rPr>
      </w:pPr>
      <w:r>
        <w:rPr>
          <w:rFonts w:eastAsia="微软雅黑"/>
          <w:szCs w:val="21"/>
        </w:rPr>
        <w:t>如果审阅简历和履历表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845"/>
        <w:textAlignment w:val="auto"/>
        <w:rPr>
          <w:rFonts w:eastAsia="微软雅黑"/>
          <w:szCs w:val="21"/>
        </w:rPr>
      </w:pPr>
      <w:r>
        <w:rPr>
          <w:rFonts w:eastAsia="微软雅黑"/>
          <w:szCs w:val="21"/>
        </w:rPr>
        <w:t>场地的安排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845"/>
        <w:textAlignment w:val="auto"/>
        <w:rPr>
          <w:rFonts w:eastAsia="微软雅黑"/>
          <w:szCs w:val="21"/>
        </w:rPr>
      </w:pPr>
      <w:r>
        <w:rPr>
          <w:rFonts w:eastAsia="微软雅黑"/>
          <w:szCs w:val="21"/>
        </w:rPr>
        <w:t>其他应注意的事项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adjustRightInd w:val="0"/>
        <w:snapToGrid/>
        <w:spacing w:line="480" w:lineRule="exact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行为性问题与STAR面试技巧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845"/>
        <w:textAlignment w:val="auto"/>
        <w:rPr>
          <w:rFonts w:eastAsia="微软雅黑"/>
          <w:szCs w:val="21"/>
        </w:rPr>
      </w:pPr>
      <w:r>
        <w:rPr>
          <w:rFonts w:eastAsia="微软雅黑"/>
          <w:szCs w:val="21"/>
        </w:rPr>
        <w:t>何谓行为性问题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845"/>
        <w:textAlignment w:val="auto"/>
        <w:rPr>
          <w:rFonts w:eastAsia="微软雅黑"/>
          <w:szCs w:val="21"/>
        </w:rPr>
      </w:pPr>
      <w:r>
        <w:rPr>
          <w:rFonts w:eastAsia="微软雅黑"/>
          <w:szCs w:val="21"/>
        </w:rPr>
        <w:t>为什么要使用行为性问题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845"/>
        <w:textAlignment w:val="auto"/>
        <w:rPr>
          <w:rFonts w:eastAsia="微软雅黑"/>
          <w:szCs w:val="21"/>
        </w:rPr>
      </w:pPr>
      <w:r>
        <w:rPr>
          <w:rFonts w:eastAsia="微软雅黑"/>
          <w:szCs w:val="21"/>
        </w:rPr>
        <w:t>行为性与其他问题的比较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845"/>
        <w:textAlignment w:val="auto"/>
        <w:rPr>
          <w:rFonts w:eastAsia="微软雅黑"/>
          <w:szCs w:val="21"/>
        </w:rPr>
      </w:pPr>
      <w:r>
        <w:rPr>
          <w:rFonts w:eastAsia="微软雅黑"/>
          <w:szCs w:val="21"/>
        </w:rPr>
        <w:t>行为性问题STAR面试结构设计要点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1260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 xml:space="preserve">背景SITUATION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1260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 xml:space="preserve">任务TASK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1260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 xml:space="preserve">行为ACTION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1260"/>
        <w:textAlignment w:val="auto"/>
        <w:rPr>
          <w:rFonts w:hint="eastAsia"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 xml:space="preserve">结果RESULT 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845"/>
        <w:textAlignment w:val="auto"/>
        <w:rPr>
          <w:rFonts w:eastAsia="微软雅黑"/>
          <w:szCs w:val="21"/>
        </w:rPr>
      </w:pPr>
      <w:r>
        <w:rPr>
          <w:rFonts w:eastAsia="微软雅黑"/>
          <w:szCs w:val="21"/>
        </w:rPr>
        <w:t>STAR面试关键要点与追问技巧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1260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关键之一： 阐述明确，注意非行为特征的描述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1260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关键之二： 阐述完整，注意事件描述完整性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1260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关键之三 ：行为确凿，注意是否得到判断其胜任程度的足够证据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adjustRightInd w:val="0"/>
        <w:snapToGrid/>
        <w:spacing w:line="480" w:lineRule="exact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面试过程中的其他注意要点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1260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面试时应常见的却失与错误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1260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面试时应注意的事项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1260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如何结束面试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1260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任用决策的考量要点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adjustRightInd w:val="0"/>
        <w:snapToGrid/>
        <w:spacing w:line="480" w:lineRule="exact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总结与Ｑ＆Ａ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eastAsia="微软雅黑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讲师介绍：</w:t>
      </w:r>
      <w:r>
        <w:rPr>
          <w:rFonts w:eastAsia="微软雅黑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贾老师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eastAsia="微软雅黑"/>
          <w:szCs w:val="21"/>
        </w:rPr>
      </w:pPr>
      <w:r>
        <w:rPr>
          <w:rFonts w:eastAsia="微软雅黑"/>
          <w:szCs w:val="21"/>
        </w:rPr>
        <w:t>曾历任顾问咨询公司总经理、集团公司人力资源总监、培训中心经理等职，具有多种背景体制企业经营管理工作经验，十多年人力资源与管理培训实务心得，专精于企业内人力资源管理与发展、管理领导技能及企业内部讲师养成的培训，注重简易与实效的工作方法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eastAsia="微软雅黑"/>
          <w:szCs w:val="21"/>
        </w:rPr>
      </w:pPr>
      <w:r>
        <w:rPr>
          <w:rFonts w:eastAsia="微软雅黑"/>
          <w:szCs w:val="21"/>
        </w:rPr>
        <w:t>授课以实务、启发见长，重视与学员间的互动与交流，使学员能够真正的“学有所得，得之能用”。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现   任：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720"/>
        </w:tabs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eastAsia="微软雅黑"/>
          <w:szCs w:val="21"/>
        </w:rPr>
      </w:pPr>
      <w:r>
        <w:rPr>
          <w:rFonts w:eastAsia="微软雅黑"/>
          <w:szCs w:val="21"/>
        </w:rPr>
        <w:t>交通大学海外教育学院特聘讲师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720"/>
        </w:tabs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eastAsia="微软雅黑"/>
          <w:szCs w:val="21"/>
        </w:rPr>
      </w:pPr>
      <w:r>
        <w:rPr>
          <w:rFonts w:eastAsia="微软雅黑"/>
          <w:szCs w:val="21"/>
        </w:rPr>
        <w:t>宝钢集团人才开发学院特聘讲师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720"/>
        </w:tabs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eastAsia="微软雅黑"/>
          <w:szCs w:val="21"/>
        </w:rPr>
      </w:pPr>
      <w:r>
        <w:rPr>
          <w:rFonts w:eastAsia="微软雅黑"/>
          <w:szCs w:val="21"/>
        </w:rPr>
        <w:t>复旦大学医学管理学院特聘讲师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720"/>
        </w:tabs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eastAsia="微软雅黑"/>
          <w:szCs w:val="21"/>
        </w:rPr>
      </w:pPr>
      <w:r>
        <w:rPr>
          <w:rFonts w:eastAsia="微软雅黑"/>
          <w:szCs w:val="21"/>
        </w:rPr>
        <w:t>财经大学MBA进修学院特聘讲师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主要学习研修：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eastAsia="微软雅黑"/>
          <w:szCs w:val="21"/>
        </w:rPr>
      </w:pPr>
      <w:r>
        <w:rPr>
          <w:rFonts w:eastAsia="微软雅黑"/>
          <w:szCs w:val="21"/>
        </w:rPr>
        <w:t>历史、教育管理心理、工商管理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擅长课程：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eastAsia="微软雅黑"/>
          <w:szCs w:val="21"/>
        </w:rPr>
      </w:pPr>
      <w:r>
        <w:rPr>
          <w:rFonts w:eastAsia="微软雅黑"/>
          <w:szCs w:val="21"/>
        </w:rPr>
        <w:t>《企业内讲师训练》、《企业内教育训练规划实务》、《人力资源管理与发展》系列课程、《管理与领导技能》系列课程等。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部分内训服务企业：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eastAsia="微软雅黑"/>
          <w:szCs w:val="21"/>
        </w:rPr>
      </w:pPr>
      <w:r>
        <w:rPr>
          <w:rFonts w:eastAsia="微软雅黑"/>
          <w:b/>
          <w:bCs/>
          <w:szCs w:val="21"/>
        </w:rPr>
        <w:t>制造业：</w:t>
      </w:r>
      <w:r>
        <w:rPr>
          <w:rFonts w:eastAsia="微软雅黑"/>
          <w:szCs w:val="21"/>
        </w:rPr>
        <w:t>宝钢集团、中国石化集团、天正集团、凯士比泵、东风蓝鸟汽车、松下电器、新大洲本田、爱德士鞋业集团、惠尔浦电器、ABB变压器、松尾钢结构有限公司、金光（APP）集团、法国拉法基、唐纳森（亚洲）、德国博西华电器、联合利华、德国怡人工艺品（宁波）公司、中集（集团）远东集装箱有限公司、和成卫浴、奥迪斯西子电梯、东风康明斯发动机、恒力集团、威瑞工具、协鑫集团、华立集团、一胜百模具、新飞电器、中纺（股份）有限公司、上海电气集团、美特斯邦威、上海电器科学研究所（集团）有限公司、恩斯克轴承、中海油、上海广电集团（SVA）、圣马纸业、爱普生（中国）、法国液化空气（杭州）有限公司、联合汽车电子、柳工机械股份、科世达-华阳汽车电器、敏实集团、英特普莱特（中国）装饰材料有限公司、日立电梯、上海耀皮玻璃、上海造船厂、天地科技股份公司、向兴集团、博世、沪东重机、三花集团、上海大众联合发展有限公司、东芝信息机器有限公司、金龙汽车、NGK（苏州）环保陶瓷有限公司、普旭真空设备国际贸易（上海）有限公司、耐落螺丝（昆山）有限公司、上海海立(集团)股份有限公司、申雅密封件有限公司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eastAsia="微软雅黑"/>
          <w:szCs w:val="21"/>
        </w:rPr>
      </w:pPr>
      <w:r>
        <w:rPr>
          <w:rFonts w:eastAsia="微软雅黑"/>
          <w:b/>
          <w:bCs/>
          <w:szCs w:val="21"/>
        </w:rPr>
        <w:t>房产业：</w:t>
      </w:r>
      <w:r>
        <w:rPr>
          <w:rFonts w:eastAsia="微软雅黑"/>
          <w:szCs w:val="21"/>
        </w:rPr>
        <w:t>汤臣集团、置信房产、复星集团、金地集团、上房物业、永升旭日集团、上海保集集团、金茂集团、宏泉集团、上海万星房产、三盛集团、北京万科、仁恒地产、东合置业、中金集团、易居臣信房产、东渡集团、新城房产公司、南银物业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eastAsia="微软雅黑"/>
          <w:szCs w:val="21"/>
        </w:rPr>
      </w:pPr>
      <w:r>
        <w:rPr>
          <w:rFonts w:eastAsia="微软雅黑"/>
          <w:b/>
          <w:bCs/>
          <w:szCs w:val="21"/>
        </w:rPr>
        <w:t>电子业：</w:t>
      </w:r>
      <w:r>
        <w:rPr>
          <w:rFonts w:eastAsia="微软雅黑"/>
          <w:szCs w:val="21"/>
        </w:rPr>
        <w:t>达丰电脑、英业达集团、中兴通讯有限公司、东方通信集团、波导股份有限公司、大唐电信、神州数码有限公司、上海欣泰通信技术有限公司、凯虹电子、华威电子、欧亚测量（徕卡）、华虹NEC、创值工业、东软集团、苏州三星电子、保力马科技、金斯顿芯片、达方电子、明基集团、泰金宝电子、峻凌电子、AMD、英顺达电子、贝岭电子、沪士电子、扬宣电子、广达电脑、上海仪表、扬名光学、楼氏电子、三原电缆、千欣仪器、爱威电子、德国巴鲁夫（上海）、四川长虹、上海天道启科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eastAsia="微软雅黑"/>
          <w:szCs w:val="21"/>
        </w:rPr>
      </w:pPr>
      <w:r>
        <w:rPr>
          <w:rFonts w:eastAsia="微软雅黑"/>
          <w:b/>
          <w:bCs/>
          <w:szCs w:val="21"/>
        </w:rPr>
        <w:t>零售业：</w:t>
      </w:r>
      <w:r>
        <w:rPr>
          <w:rFonts w:eastAsia="微软雅黑"/>
          <w:szCs w:val="21"/>
        </w:rPr>
        <w:t>香港新世界百货、上海第一八佰伴、上海东方商厦、山东三联集团、上海联华超市、华地企业（集团）、永乐家电、苏宁电器、李宁体育、美津浓、百安居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eastAsia="微软雅黑"/>
          <w:szCs w:val="21"/>
        </w:rPr>
      </w:pPr>
      <w:r>
        <w:rPr>
          <w:rFonts w:eastAsia="微软雅黑"/>
          <w:b/>
          <w:bCs/>
          <w:szCs w:val="21"/>
        </w:rPr>
        <w:t>信息业：</w:t>
      </w:r>
      <w:r>
        <w:rPr>
          <w:rFonts w:eastAsia="微软雅黑"/>
          <w:szCs w:val="21"/>
        </w:rPr>
        <w:t>盛大网络、上海电子商务管理有限公司、上海有线网络有限公司（上海热线）中国(上海)电信、中国移动、上海邮电通信、法国申美（上海）商品检验检测公司、中国(苏州)电信、湖北通信服务公司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hint="eastAsia" w:eastAsia="微软雅黑"/>
          <w:szCs w:val="21"/>
        </w:rPr>
      </w:pPr>
      <w:r>
        <w:rPr>
          <w:rFonts w:eastAsia="微软雅黑"/>
          <w:b/>
          <w:bCs/>
          <w:szCs w:val="21"/>
        </w:rPr>
        <w:t>医药业：</w:t>
      </w:r>
      <w:r>
        <w:rPr>
          <w:rFonts w:eastAsia="微软雅黑"/>
          <w:szCs w:val="21"/>
        </w:rPr>
        <w:t>新亚药业、百特医疗、宝龙药业、欧姆龙（中国）、信谊药业、中美史克、卫材（中国）药业、纽迪希亚制药、德国拜耳、南京鼓楼医院、上海中山医院、广州医学院第二附属医院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eastAsia="微软雅黑"/>
          <w:szCs w:val="21"/>
        </w:rPr>
      </w:pPr>
      <w:r>
        <w:rPr>
          <w:rFonts w:eastAsia="微软雅黑"/>
          <w:b/>
          <w:bCs/>
          <w:szCs w:val="21"/>
        </w:rPr>
        <w:t>流通业：</w:t>
      </w:r>
      <w:r>
        <w:rPr>
          <w:rFonts w:eastAsia="微软雅黑"/>
          <w:szCs w:val="21"/>
        </w:rPr>
        <w:t>中国远洋运输（集团）、百岁物流、圣泽集团、上海图书进出口公司、上海大众集团、上海沪东集装箱码头有限公司、丹沙中福货运（DHL）、上气销售、上海恒荣货运有限公司、上海磁浮交通、台骅国际、中国国际航空、上海浦东国际集装箱码头有限公司、上海外高桥贸易进出口有限公司、上海东方远航物流有限公司、上海浦东国际机场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hint="eastAsia" w:eastAsia="微软雅黑"/>
          <w:szCs w:val="21"/>
        </w:rPr>
      </w:pPr>
      <w:r>
        <w:rPr>
          <w:rFonts w:eastAsia="微软雅黑"/>
          <w:b/>
          <w:bCs/>
          <w:szCs w:val="21"/>
        </w:rPr>
        <w:t>金融业：</w:t>
      </w:r>
      <w:r>
        <w:rPr>
          <w:rFonts w:eastAsia="微软雅黑"/>
          <w:szCs w:val="21"/>
        </w:rPr>
        <w:t>上海浦东发展银行、中国银行、新华人寿、生命人寿、交通银行、广州天河信用社、交银施罗德基金、国泰君安证券、建设银行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eastAsia="微软雅黑"/>
          <w:szCs w:val="21"/>
        </w:rPr>
      </w:pPr>
      <w:r>
        <w:rPr>
          <w:rFonts w:eastAsia="微软雅黑"/>
          <w:b/>
          <w:bCs/>
          <w:szCs w:val="21"/>
        </w:rPr>
        <w:t>食品业：</w:t>
      </w:r>
      <w:r>
        <w:rPr>
          <w:rFonts w:eastAsia="微软雅黑"/>
          <w:szCs w:val="21"/>
        </w:rPr>
        <w:t>山东秦老太食品、海霸王食品、养生堂、东福集团、福喜食品、立顿茶、上海高扬国际卷烟公司、德之馨香料、上海烟草集团、不凡帝梅特勒糖果、中萃食品有限公司、农夫山泉、三得利啤酒、贝因美集团、浙江商源食品、统一集团、箭牌糖果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eastAsia="微软雅黑"/>
          <w:szCs w:val="21"/>
        </w:rPr>
      </w:pPr>
      <w:r>
        <w:rPr>
          <w:rFonts w:eastAsia="微软雅黑"/>
          <w:b/>
          <w:bCs/>
          <w:szCs w:val="21"/>
        </w:rPr>
        <w:t>其  它：</w:t>
      </w:r>
      <w:r>
        <w:rPr>
          <w:rFonts w:eastAsia="微软雅黑"/>
          <w:szCs w:val="21"/>
        </w:rPr>
        <w:t>韦博英语、德勤会计事务所、上海兴国宾馆、中国电力投资集团、上海集成电路研究中心、上海文广新闻传媒集团（SMG）、秦山核电公司、上海人民广播电台、文新报业集团、上海现代设计集团、新华传媒集团、田湾核电公司、华映文化传媒、宝洁公司、上海证券报社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hint="eastAsia" w:eastAsia="微软雅黑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/>
        </w:rPr>
      </w:pPr>
    </w:p>
    <w:p>
      <w:pPr>
        <w:spacing w:before="120" w:beforeLines="50" w:after="120" w:afterLines="50"/>
        <w:jc w:val="center"/>
        <w:rPr>
          <w:rFonts w:hint="eastAsia" w:ascii="微软雅黑" w:hAnsi="微软雅黑" w:eastAsia="微软雅黑" w:cs="微软雅黑"/>
          <w:b/>
          <w:color w:val="0000FF"/>
          <w:sz w:val="4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jA3uL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KjA3uL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18A97A"/>
    <w:multiLevelType w:val="singleLevel"/>
    <w:tmpl w:val="9618A97A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EF15EA60"/>
    <w:multiLevelType w:val="singleLevel"/>
    <w:tmpl w:val="EF15EA6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9128EA3"/>
    <w:multiLevelType w:val="singleLevel"/>
    <w:tmpl w:val="19128EA3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3519DC8C"/>
    <w:multiLevelType w:val="singleLevel"/>
    <w:tmpl w:val="3519DC8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37CB52E0"/>
    <w:multiLevelType w:val="singleLevel"/>
    <w:tmpl w:val="37CB52E0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3E6C6C60"/>
    <w:multiLevelType w:val="singleLevel"/>
    <w:tmpl w:val="3E6C6C60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>
    <w:nsid w:val="48411FCB"/>
    <w:multiLevelType w:val="multilevel"/>
    <w:tmpl w:val="48411FCB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7">
    <w:nsid w:val="5D7122CD"/>
    <w:multiLevelType w:val="singleLevel"/>
    <w:tmpl w:val="5D7122C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8">
    <w:nsid w:val="69094829"/>
    <w:multiLevelType w:val="multilevel"/>
    <w:tmpl w:val="69094829"/>
    <w:lvl w:ilvl="0" w:tentative="0">
      <w:start w:val="1"/>
      <w:numFmt w:val="bullet"/>
      <w:lvlText w:val=""/>
      <w:lvlJc w:val="left"/>
      <w:pPr>
        <w:ind w:left="56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8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0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2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4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6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0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22" w:hanging="420"/>
      </w:pPr>
      <w:rPr>
        <w:rFonts w:hint="default" w:ascii="Wingdings" w:hAnsi="Wingdings"/>
      </w:rPr>
    </w:lvl>
  </w:abstractNum>
  <w:abstractNum w:abstractNumId="9">
    <w:nsid w:val="6AF53A3C"/>
    <w:multiLevelType w:val="singleLevel"/>
    <w:tmpl w:val="6AF53A3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7A7B912B"/>
    <w:multiLevelType w:val="singleLevel"/>
    <w:tmpl w:val="7A7B912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92ED7"/>
    <w:rsid w:val="1849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2021-11-02T08:23:00Z</dcterms:created>
  <dc:creator>强思企管婷婷（渠道报单）</dc:creator>
  <cp:lastModifiedBy>强思企管婷婷（渠道报单）</cp:lastModifiedBy>
  <dcterms:modified xsi:type="dcterms:W3CDTF">2021-11-02T08:26:37Z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BBC61B1BE4064C7B88845DC75C1D4E47</vt:lpwstr>
  </property>
</Properties>
</file>