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/>
          <w:color w:val="0000FF"/>
          <w:sz w:val="44"/>
        </w:rPr>
      </w:pPr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EHS专员全面技能提升</w:t>
      </w:r>
    </w:p>
    <w:p>
      <w:pPr>
        <w:jc w:val="center"/>
        <w:rPr>
          <w:rFonts w:hint="default" w:ascii="Times New Roman" w:hAnsi="Times New Roman" w:eastAsia="微软雅黑" w:cs="Times New Roman"/>
          <w:b/>
          <w:color w:val="0000FF"/>
          <w:sz w:val="44"/>
        </w:rPr>
      </w:pPr>
      <w:bookmarkStart w:id="0" w:name="_GoBack"/>
      <w:r>
        <w:rPr>
          <w:rFonts w:hint="default" w:ascii="Times New Roman" w:hAnsi="Times New Roman" w:eastAsia="微软雅黑" w:cs="Times New Roman"/>
          <w:b/>
          <w:color w:val="0000FF"/>
          <w:sz w:val="44"/>
        </w:rPr>
        <w:t>（环境/健康/零事故安全生产）</w:t>
      </w:r>
    </w:p>
    <w:bookmarkEnd w:id="0"/>
    <w:p>
      <w:pPr>
        <w:jc w:val="center"/>
        <w:rPr>
          <w:rFonts w:hint="default" w:ascii="Times New Roman" w:hAnsi="Times New Roman" w:eastAsia="微软雅黑" w:cs="Times New Roman"/>
          <w:b/>
          <w:color w:val="0000FF"/>
          <w:sz w:val="44"/>
        </w:rPr>
      </w:pPr>
    </w:p>
    <w:p>
      <w:pPr>
        <w:spacing w:line="480" w:lineRule="exact"/>
        <w:rPr>
          <w:rFonts w:hint="eastAsia" w:eastAsia="微软雅黑"/>
          <w:b/>
          <w:color w:val="000000"/>
          <w:szCs w:val="21"/>
          <w:lang w:eastAsia="zh-CN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eastAsia="微软雅黑"/>
          <w:b/>
          <w:color w:val="000000"/>
          <w:szCs w:val="21"/>
        </w:rPr>
        <w:t>20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22</w:t>
      </w:r>
      <w:r>
        <w:rPr>
          <w:rFonts w:eastAsia="微软雅黑"/>
          <w:b/>
          <w:color w:val="000000"/>
          <w:szCs w:val="21"/>
        </w:rPr>
        <w:t>年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</w:t>
      </w:r>
      <w:r>
        <w:rPr>
          <w:rFonts w:eastAsia="微软雅黑"/>
          <w:b/>
          <w:color w:val="000000"/>
          <w:szCs w:val="21"/>
        </w:rPr>
        <w:t>月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23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25</w:t>
      </w:r>
      <w:r>
        <w:rPr>
          <w:rFonts w:eastAsia="微软雅黑"/>
          <w:b/>
          <w:color w:val="000000"/>
          <w:szCs w:val="21"/>
        </w:rPr>
        <w:t>日（星期</w:t>
      </w:r>
      <w:r>
        <w:rPr>
          <w:rFonts w:hint="eastAsia" w:eastAsia="微软雅黑"/>
          <w:b/>
          <w:color w:val="000000"/>
          <w:szCs w:val="21"/>
          <w:lang w:eastAsia="zh-CN"/>
        </w:rPr>
        <w:t>三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星期</w:t>
      </w:r>
      <w:r>
        <w:rPr>
          <w:rFonts w:hint="eastAsia" w:eastAsia="微软雅黑"/>
          <w:b/>
          <w:color w:val="000000"/>
          <w:szCs w:val="21"/>
          <w:lang w:eastAsia="zh-CN"/>
        </w:rPr>
        <w:t>五</w:t>
      </w:r>
      <w:r>
        <w:rPr>
          <w:rFonts w:eastAsia="微软雅黑"/>
          <w:b/>
          <w:color w:val="000000"/>
          <w:szCs w:val="21"/>
        </w:rPr>
        <w:t>）</w:t>
      </w:r>
      <w:r>
        <w:rPr>
          <w:rFonts w:hint="eastAsia" w:eastAsia="微软雅黑"/>
          <w:b/>
          <w:color w:val="000000"/>
          <w:szCs w:val="21"/>
        </w:rPr>
        <w:t>/</w:t>
      </w:r>
      <w:r>
        <w:rPr>
          <w:rFonts w:hint="eastAsia" w:eastAsia="微软雅黑"/>
          <w:b/>
          <w:color w:val="000000"/>
          <w:szCs w:val="21"/>
          <w:lang w:eastAsia="zh-CN"/>
        </w:rPr>
        <w:t>上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eastAsia="微软雅黑"/>
          <w:b/>
          <w:color w:val="000000"/>
          <w:szCs w:val="21"/>
          <w:lang w:eastAsia="zh-CN"/>
        </w:rPr>
        <w:t>海</w:t>
      </w:r>
    </w:p>
    <w:p>
      <w:pPr>
        <w:spacing w:line="480" w:lineRule="exact"/>
        <w:ind w:firstLine="1681" w:firstLineChars="800"/>
        <w:rPr>
          <w:rFonts w:hint="eastAsia" w:eastAsia="微软雅黑"/>
          <w:b/>
          <w:color w:val="000000"/>
          <w:szCs w:val="21"/>
          <w:lang w:val="en-US" w:eastAsia="zh-CN"/>
        </w:rPr>
      </w:pPr>
      <w:r>
        <w:rPr>
          <w:rFonts w:eastAsia="微软雅黑"/>
          <w:b/>
          <w:color w:val="000000"/>
          <w:szCs w:val="21"/>
        </w:rPr>
        <w:t>20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22</w:t>
      </w:r>
      <w:r>
        <w:rPr>
          <w:rFonts w:eastAsia="微软雅黑"/>
          <w:b/>
          <w:color w:val="000000"/>
          <w:szCs w:val="21"/>
        </w:rPr>
        <w:t>年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6</w:t>
      </w:r>
      <w:r>
        <w:rPr>
          <w:rFonts w:eastAsia="微软雅黑"/>
          <w:b/>
          <w:color w:val="000000"/>
          <w:szCs w:val="21"/>
        </w:rPr>
        <w:t>月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22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24</w:t>
      </w:r>
      <w:r>
        <w:rPr>
          <w:rFonts w:eastAsia="微软雅黑"/>
          <w:b/>
          <w:color w:val="000000"/>
          <w:szCs w:val="21"/>
        </w:rPr>
        <w:t>日（星期</w:t>
      </w:r>
      <w:r>
        <w:rPr>
          <w:rFonts w:hint="eastAsia" w:eastAsia="微软雅黑"/>
          <w:b/>
          <w:color w:val="000000"/>
          <w:szCs w:val="21"/>
          <w:lang w:eastAsia="zh-CN"/>
        </w:rPr>
        <w:t>三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星期</w:t>
      </w:r>
      <w:r>
        <w:rPr>
          <w:rFonts w:hint="eastAsia" w:eastAsia="微软雅黑"/>
          <w:b/>
          <w:color w:val="000000"/>
          <w:szCs w:val="21"/>
          <w:lang w:eastAsia="zh-CN"/>
        </w:rPr>
        <w:t>五</w:t>
      </w:r>
      <w:r>
        <w:rPr>
          <w:rFonts w:eastAsia="微软雅黑"/>
          <w:b/>
          <w:color w:val="000000"/>
          <w:szCs w:val="21"/>
        </w:rPr>
        <w:t>）</w:t>
      </w:r>
      <w:r>
        <w:rPr>
          <w:rFonts w:hint="eastAsia" w:eastAsia="微软雅黑"/>
          <w:b/>
          <w:color w:val="000000"/>
          <w:szCs w:val="21"/>
        </w:rPr>
        <w:t>/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苏 州</w:t>
      </w:r>
    </w:p>
    <w:p>
      <w:pPr>
        <w:spacing w:line="480" w:lineRule="exact"/>
        <w:ind w:firstLine="1681" w:firstLineChars="800"/>
        <w:rPr>
          <w:rFonts w:hint="eastAsia" w:eastAsia="微软雅黑"/>
          <w:b/>
          <w:color w:val="000000"/>
          <w:szCs w:val="21"/>
          <w:lang w:eastAsia="zh-CN"/>
        </w:rPr>
      </w:pPr>
      <w:r>
        <w:rPr>
          <w:rFonts w:eastAsia="微软雅黑"/>
          <w:b/>
          <w:color w:val="000000"/>
          <w:szCs w:val="21"/>
        </w:rPr>
        <w:t>20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22</w:t>
      </w:r>
      <w:r>
        <w:rPr>
          <w:rFonts w:eastAsia="微软雅黑"/>
          <w:b/>
          <w:color w:val="000000"/>
          <w:szCs w:val="21"/>
        </w:rPr>
        <w:t>年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11</w:t>
      </w:r>
      <w:r>
        <w:rPr>
          <w:rFonts w:eastAsia="微软雅黑"/>
          <w:b/>
          <w:color w:val="000000"/>
          <w:szCs w:val="21"/>
        </w:rPr>
        <w:t>月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22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24</w:t>
      </w:r>
      <w:r>
        <w:rPr>
          <w:rFonts w:eastAsia="微软雅黑"/>
          <w:b/>
          <w:color w:val="000000"/>
          <w:szCs w:val="21"/>
        </w:rPr>
        <w:t>日（星期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二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星期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>四</w:t>
      </w:r>
      <w:r>
        <w:rPr>
          <w:rFonts w:eastAsia="微软雅黑"/>
          <w:b/>
          <w:color w:val="000000"/>
          <w:szCs w:val="21"/>
        </w:rPr>
        <w:t>）</w:t>
      </w:r>
      <w:r>
        <w:rPr>
          <w:rFonts w:hint="eastAsia" w:eastAsia="微软雅黑"/>
          <w:b/>
          <w:color w:val="000000"/>
          <w:szCs w:val="21"/>
        </w:rPr>
        <w:t>/</w:t>
      </w:r>
      <w:r>
        <w:rPr>
          <w:rFonts w:hint="eastAsia" w:eastAsia="微软雅黑"/>
          <w:b/>
          <w:color w:val="000000"/>
          <w:szCs w:val="21"/>
          <w:lang w:eastAsia="zh-CN"/>
        </w:rPr>
        <w:t>上</w:t>
      </w:r>
      <w:r>
        <w:rPr>
          <w:rFonts w:hint="eastAsia" w:eastAsia="微软雅黑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eastAsia="微软雅黑"/>
          <w:b/>
          <w:color w:val="000000"/>
          <w:szCs w:val="21"/>
          <w:lang w:eastAsia="zh-CN"/>
        </w:rPr>
        <w:t>海</w:t>
      </w:r>
    </w:p>
    <w:p>
      <w:pPr>
        <w:spacing w:line="480" w:lineRule="exac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45</w:t>
      </w:r>
      <w:r>
        <w:rPr>
          <w:rFonts w:eastAsia="微软雅黑"/>
          <w:b/>
          <w:szCs w:val="21"/>
        </w:rPr>
        <w:t>00/人</w:t>
      </w:r>
    </w:p>
    <w:p>
      <w:pPr>
        <w:numPr>
          <w:ilvl w:val="0"/>
          <w:numId w:val="1"/>
        </w:numPr>
        <w:spacing w:line="480" w:lineRule="exact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numPr>
          <w:ilvl w:val="0"/>
          <w:numId w:val="1"/>
        </w:numPr>
        <w:spacing w:line="480" w:lineRule="exact"/>
        <w:rPr>
          <w:rFonts w:hint="eastAsia" w:ascii="Times New Roman" w:hAnsi="Times New Roman" w:eastAsia="微软雅黑" w:cs="Times New Roman"/>
        </w:rPr>
      </w:pPr>
      <w:r>
        <w:rPr>
          <w:rFonts w:hint="eastAsia" w:ascii="Times New Roman" w:hAnsi="Times New Roman" w:eastAsia="微软雅黑" w:cs="Times New Roman"/>
        </w:rPr>
        <w:t>不包含学员往返培训场地的交通费用、住宿费用，早餐及晚餐 </w:t>
      </w:r>
    </w:p>
    <w:p>
      <w:pPr>
        <w:tabs>
          <w:tab w:val="left" w:pos="3858"/>
        </w:tabs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tabs>
          <w:tab w:val="left" w:pos="3858"/>
        </w:tabs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课程背景：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企业不消灭事故，事故就会消灭企业，这是昆山中荣、天津瑞海爆炸事故告诉我们的构建环境亲和性、零事故企业是构建和谐社会的必然要求。也是是维护社会公平和正义的体现。目前，一些企业在高额利润的驱动下，无视环境污染、从业人员的生命和健康，无视国家法律和政府监管，这实质上是蔑视和践踏社会公平正义。企业频繁出现HSE事故，不仅损害了人类的生存环境和员工的生命安全，加大企业的生产成本，同时降低了企业在社会上和客户中的形象，严重影响和滞后了企业的健康、稳定和持续发展。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为了改善这种状况，提升企业社会形象，此课程旨在将HSE管理意识、管理方法、HSE技术要求和适用的管理工具融入到企业的内部HSE管理中，做到事前预防、事后应急的HSE管理模式。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 xml:space="preserve">企业成于安全，败于事故！任何一起事故对企业都是一种不可挽回的损失，可能对于企业来说事故发生只有万分之一或更小的概率，但对家庭、个人却造成无法弥补的伤痛，就是100％。安全管理人员是企业的“保护神”。 </w:t>
      </w:r>
    </w:p>
    <w:p>
      <w:pPr>
        <w:spacing w:line="480" w:lineRule="exact"/>
        <w:ind w:firstLine="420" w:firstLineChars="200"/>
        <w:rPr>
          <w:rFonts w:eastAsia="微软雅黑"/>
          <w:color w:val="000000"/>
          <w:szCs w:val="21"/>
        </w:rPr>
      </w:pPr>
      <w:r>
        <w:rPr>
          <w:rFonts w:eastAsia="微软雅黑"/>
          <w:szCs w:val="21"/>
        </w:rPr>
        <w:t>摆在管理层面前的问题是：如何有效控制与HSE相关的风险？如何持续改进HSE相关的业绩？从而保证企业的健康发展。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课程目标：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帮助企业各级管理人员掌握HSE管理的一般方法，了解事故致因理论和安全管理体系的构建过程，以及必要的与HSE有关的法律知识；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掌握“环境、危险、有害因素”辨识的方法，从根本上转变对HSE管理的认识。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掌握危害与风险的辨识、评估及控制.结合世界级工厂HES管理方法；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能够运用适用的HSE技术标准，完善企业的HSE本质安全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掌握内部HSE检查与HSE隐患审查方法，结合实际工厂案例，对现场及作业设计提出改善思路，从根本上预防伤害；</w:t>
      </w:r>
    </w:p>
    <w:p>
      <w:p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掌握工厂的HSE管理体系和自我保障方法与技巧，确保企业HSE合规性。</w:t>
      </w:r>
    </w:p>
    <w:p>
      <w:pPr>
        <w:spacing w:line="480" w:lineRule="exact"/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课程特色：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40%的案例+40%的研讨+20%的理论知识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b/>
          <w:szCs w:val="21"/>
        </w:rPr>
      </w:pPr>
      <w:r>
        <w:rPr>
          <w:rFonts w:eastAsia="微软雅黑"/>
          <w:szCs w:val="21"/>
        </w:rPr>
        <w:t>4S------实用、实际、实例、实操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spacing w:line="480" w:lineRule="exact"/>
        <w:ind w:firstLine="420" w:firstLineChars="200"/>
        <w:rPr>
          <w:rFonts w:hint="eastAsia" w:eastAsia="微软雅黑"/>
        </w:rPr>
      </w:pPr>
      <w:r>
        <w:rPr>
          <w:rFonts w:eastAsia="微软雅黑"/>
        </w:rPr>
        <w:t>知识讲解、案例分析讨论、角色演练、小组讨论、互动交流、游戏感悟、头脑风暴、强调学员参与。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spacing w:line="4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开篇：这样的环境您愿意在此生活吗？</w:t>
      </w:r>
    </w:p>
    <w:p>
      <w:pPr>
        <w:spacing w:line="4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第一讲：环境保护篇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通过呼吸排出二氧化碳是属于破坏环境吗？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环境管理的历史演变以及最新的环境保护理念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当前企业主要面临的环保风险与应急对策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HSE核心专员的八项修炼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环境保护制度的建立与落实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新、改、扩建项目HSE管理的五大“三同时”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HSE风险可行性研究报告的编制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申报、评价、审批、验收流程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许可证管理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水、气、声的环保管理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危险废弃物分类、标识、储存、处置及申报管理</w:t>
      </w:r>
    </w:p>
    <w:p>
      <w:pPr>
        <w:pStyle w:val="7"/>
        <w:numPr>
          <w:ilvl w:val="0"/>
          <w:numId w:val="3"/>
        </w:numPr>
        <w:spacing w:line="480" w:lineRule="exact"/>
        <w:ind w:left="0" w:leftChars="0" w:firstLine="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环境事故应急救援预案</w:t>
      </w:r>
    </w:p>
    <w:p>
      <w:pPr>
        <w:spacing w:line="480" w:lineRule="exact"/>
        <w:rPr>
          <w:rFonts w:eastAsia="微软雅黑"/>
          <w:b/>
          <w:szCs w:val="21"/>
          <w:u w:val="single"/>
        </w:rPr>
      </w:pPr>
      <w:r>
        <w:rPr>
          <w:rStyle w:val="6"/>
          <w:rFonts w:eastAsia="微软雅黑"/>
          <w:szCs w:val="21"/>
          <w:u w:val="single"/>
        </w:rPr>
        <w:t>结束语：还我蓝天白云，还我青山绿水</w:t>
      </w:r>
    </w:p>
    <w:p>
      <w:pPr>
        <w:pStyle w:val="7"/>
        <w:numPr>
          <w:ilvl w:val="0"/>
          <w:numId w:val="4"/>
        </w:numPr>
        <w:spacing w:line="480" w:lineRule="exact"/>
        <w:ind w:left="420" w:leftChars="0" w:hanging="420" w:firstLineChars="0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课程总结和收益：理解环境保护的内容，掌握环保申报和内部环境管理的方法；</w:t>
      </w:r>
    </w:p>
    <w:p>
      <w:pPr>
        <w:jc w:val="center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课程输出：环境保护管理制度；新、改、扩建项目管理；危险废物台账</w:t>
      </w:r>
    </w:p>
    <w:p>
      <w:pPr>
        <w:spacing w:line="4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第二讲：安全意识篇</w:t>
      </w:r>
    </w:p>
    <w:p>
      <w:pPr>
        <w:spacing w:line="480" w:lineRule="exact"/>
        <w:rPr>
          <w:rFonts w:eastAsia="微软雅黑"/>
          <w:b/>
          <w:szCs w:val="21"/>
        </w:rPr>
      </w:pPr>
      <w:r>
        <w:rPr>
          <w:rFonts w:eastAsia="微软雅黑"/>
          <w:b/>
          <w:szCs w:val="21"/>
        </w:rPr>
        <w:t>开篇：血淋淋的事实告诉我们什么？</w:t>
      </w:r>
    </w:p>
    <w:p>
      <w:pPr>
        <w:pStyle w:val="7"/>
        <w:numPr>
          <w:ilvl w:val="0"/>
          <w:numId w:val="5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人生的五种欲望</w:t>
      </w:r>
    </w:p>
    <w:p>
      <w:pPr>
        <w:pStyle w:val="7"/>
        <w:numPr>
          <w:ilvl w:val="0"/>
          <w:numId w:val="5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当前企业安全生产局势恶化成因分析即安全管理模式探讨</w:t>
      </w:r>
    </w:p>
    <w:p>
      <w:pPr>
        <w:pStyle w:val="7"/>
        <w:numPr>
          <w:ilvl w:val="0"/>
          <w:numId w:val="5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企业安全管理通病分析</w:t>
      </w:r>
    </w:p>
    <w:p>
      <w:pPr>
        <w:pStyle w:val="7"/>
        <w:numPr>
          <w:ilvl w:val="0"/>
          <w:numId w:val="5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企业提升全员安全意识的四个法则</w:t>
      </w:r>
    </w:p>
    <w:p>
      <w:pPr>
        <w:pStyle w:val="7"/>
        <w:numPr>
          <w:ilvl w:val="0"/>
          <w:numId w:val="5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杜绝“三违”，成就安全</w:t>
      </w:r>
    </w:p>
    <w:p>
      <w:pPr>
        <w:pStyle w:val="7"/>
        <w:numPr>
          <w:ilvl w:val="0"/>
          <w:numId w:val="5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现场安全管理之“四不伤害”原则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视频：安全演讲之《I chose to look the other way》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隐患=事故，轨迹交叉之不是不报时候未到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发动对安全隐患辨识的全员战争</w:t>
      </w:r>
    </w:p>
    <w:p>
      <w:pPr>
        <w:spacing w:line="480" w:lineRule="exact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结束语：生于忧患，死于安乐</w:t>
      </w:r>
    </w:p>
    <w:p>
      <w:pPr>
        <w:pStyle w:val="7"/>
        <w:numPr>
          <w:ilvl w:val="0"/>
          <w:numId w:val="7"/>
        </w:numPr>
        <w:spacing w:line="480" w:lineRule="exact"/>
        <w:ind w:left="420" w:leftChars="0" w:hanging="420" w:firstLineChars="0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第一讲课程总结及收益：通过翔实的案例分享，从情感上改变员工的安全意识，使之从“要我安全”转变为“我要安全”的理念，着力培养员工的安全意愿；</w:t>
      </w:r>
    </w:p>
    <w:p>
      <w:pPr>
        <w:pStyle w:val="7"/>
        <w:numPr>
          <w:ilvl w:val="0"/>
          <w:numId w:val="7"/>
        </w:numPr>
        <w:spacing w:line="480" w:lineRule="exact"/>
        <w:ind w:left="420" w:leftChars="0" w:hanging="420" w:firstLineChars="0"/>
        <w:rPr>
          <w:rFonts w:eastAsia="微软雅黑"/>
          <w:b/>
          <w:szCs w:val="21"/>
        </w:rPr>
      </w:pPr>
      <w:r>
        <w:rPr>
          <w:rFonts w:eastAsia="微软雅黑"/>
          <w:b/>
          <w:szCs w:val="21"/>
          <w:u w:val="single"/>
        </w:rPr>
        <w:t>课程输出：安全事故案例的收集与整理、未遂事件（Near Miss）不安全行为 状况报告卡。</w:t>
      </w:r>
    </w:p>
    <w:p>
      <w:pPr>
        <w:spacing w:line="4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第三讲：预防为主篇</w:t>
      </w:r>
    </w:p>
    <w:p>
      <w:pPr>
        <w:spacing w:line="480" w:lineRule="exact"/>
        <w:rPr>
          <w:rFonts w:eastAsia="微软雅黑"/>
          <w:b/>
          <w:szCs w:val="21"/>
        </w:rPr>
      </w:pPr>
      <w:r>
        <w:rPr>
          <w:rFonts w:eastAsia="微软雅黑"/>
          <w:b/>
          <w:szCs w:val="21"/>
        </w:rPr>
        <w:t>开篇：小心是安全的前提，但很多时候，知识比小心更重要，如果你不具备知识，再小心也不知道危险所在</w:t>
      </w:r>
    </w:p>
    <w:p>
      <w:pPr>
        <w:pStyle w:val="7"/>
        <w:numPr>
          <w:ilvl w:val="0"/>
          <w:numId w:val="8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工厂安全十大理念</w:t>
      </w:r>
    </w:p>
    <w:p>
      <w:pPr>
        <w:pStyle w:val="7"/>
        <w:numPr>
          <w:ilvl w:val="0"/>
          <w:numId w:val="8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厂区安全“五严禁”和“五必须”</w:t>
      </w:r>
    </w:p>
    <w:p>
      <w:pPr>
        <w:pStyle w:val="7"/>
        <w:numPr>
          <w:ilvl w:val="0"/>
          <w:numId w:val="8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本质安全原理与方法</w:t>
      </w:r>
    </w:p>
    <w:p>
      <w:pPr>
        <w:pStyle w:val="7"/>
        <w:numPr>
          <w:ilvl w:val="0"/>
          <w:numId w:val="8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彻底辨识安全隐患之“五步法”</w:t>
      </w:r>
    </w:p>
    <w:p>
      <w:pPr>
        <w:pStyle w:val="7"/>
        <w:numPr>
          <w:ilvl w:val="0"/>
          <w:numId w:val="8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安全风险的评估与控制策划</w:t>
      </w:r>
    </w:p>
    <w:p>
      <w:pPr>
        <w:pStyle w:val="7"/>
        <w:numPr>
          <w:ilvl w:val="0"/>
          <w:numId w:val="8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现场安全管理的六项基本原则：HSE技术标准的引用、对象鉴定、源头管理、过程控制、事后应急、持续改进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消防安全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危险品安全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机电安全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九大危险作业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特种设备安全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承包方安全</w:t>
      </w:r>
    </w:p>
    <w:p>
      <w:pPr>
        <w:pStyle w:val="7"/>
        <w:numPr>
          <w:ilvl w:val="0"/>
          <w:numId w:val="8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个人PPE管理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安全标识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现场环境风险管理</w:t>
      </w:r>
    </w:p>
    <w:p>
      <w:pPr>
        <w:pStyle w:val="7"/>
        <w:numPr>
          <w:ilvl w:val="0"/>
          <w:numId w:val="8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MOC变更管理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案例分析</w:t>
      </w:r>
    </w:p>
    <w:p>
      <w:pPr>
        <w:spacing w:line="480" w:lineRule="exact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结束语：零灾害工厂=严格完善的安全标准×严格完善的执行力</w:t>
      </w:r>
    </w:p>
    <w:p>
      <w:pPr>
        <w:pStyle w:val="7"/>
        <w:numPr>
          <w:ilvl w:val="0"/>
          <w:numId w:val="9"/>
        </w:numPr>
        <w:spacing w:line="480" w:lineRule="exact"/>
        <w:ind w:left="420" w:leftChars="0" w:hanging="420" w:firstLineChars="0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课程总结和收益：学会如何编制企业安全标准，掌握现场安全隐患的辨识方法，拟定消除隐患的措施，从而从根源上杜绝灾害发生；</w:t>
      </w:r>
    </w:p>
    <w:p>
      <w:pPr>
        <w:pStyle w:val="7"/>
        <w:numPr>
          <w:ilvl w:val="0"/>
          <w:numId w:val="9"/>
        </w:numPr>
        <w:spacing w:line="480" w:lineRule="exact"/>
        <w:ind w:left="420" w:leftChars="0" w:hanging="420" w:firstLineChars="0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课程输出：我们的安全标准</w:t>
      </w:r>
    </w:p>
    <w:p>
      <w:pPr>
        <w:spacing w:line="4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第四讲：综合治理篇</w:t>
      </w:r>
    </w:p>
    <w:p>
      <w:pPr>
        <w:spacing w:line="480" w:lineRule="exact"/>
        <w:rPr>
          <w:rFonts w:eastAsia="微软雅黑"/>
          <w:b/>
          <w:szCs w:val="21"/>
        </w:rPr>
      </w:pPr>
      <w:r>
        <w:rPr>
          <w:rFonts w:eastAsia="微软雅黑"/>
          <w:b/>
          <w:szCs w:val="21"/>
        </w:rPr>
        <w:t>开篇：工作场所本身永远没有真正的安全，工作场所里人的行为决定了是否会有伤害发生，而管理者决定人的行为</w:t>
      </w:r>
    </w:p>
    <w:p>
      <w:pPr>
        <w:pStyle w:val="7"/>
        <w:numPr>
          <w:ilvl w:val="0"/>
          <w:numId w:val="10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现代安全管理特性探讨</w:t>
      </w:r>
    </w:p>
    <w:p>
      <w:pPr>
        <w:pStyle w:val="7"/>
        <w:numPr>
          <w:ilvl w:val="0"/>
          <w:numId w:val="10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安全“三同时”</w:t>
      </w:r>
    </w:p>
    <w:p>
      <w:pPr>
        <w:pStyle w:val="7"/>
        <w:numPr>
          <w:ilvl w:val="0"/>
          <w:numId w:val="10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谁是企业HSE负责人</w:t>
      </w:r>
    </w:p>
    <w:p>
      <w:pPr>
        <w:pStyle w:val="7"/>
        <w:numPr>
          <w:ilvl w:val="0"/>
          <w:numId w:val="10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HSE法制建设及目前立法的最新动态</w:t>
      </w:r>
    </w:p>
    <w:p>
      <w:pPr>
        <w:pStyle w:val="7"/>
        <w:numPr>
          <w:ilvl w:val="0"/>
          <w:numId w:val="10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重点关注企业的“三类人群”</w:t>
      </w:r>
    </w:p>
    <w:p>
      <w:pPr>
        <w:pStyle w:val="7"/>
        <w:numPr>
          <w:ilvl w:val="0"/>
          <w:numId w:val="10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三级HSE教育活动开展</w:t>
      </w:r>
    </w:p>
    <w:p>
      <w:pPr>
        <w:pStyle w:val="7"/>
        <w:numPr>
          <w:ilvl w:val="0"/>
          <w:numId w:val="10"/>
        </w:numPr>
        <w:spacing w:line="480" w:lineRule="exact"/>
        <w:ind w:left="420" w:leftChars="0" w:hanging="420" w:hangingChars="200"/>
        <w:rPr>
          <w:rFonts w:hint="eastAsia" w:eastAsia="微软雅黑"/>
          <w:szCs w:val="21"/>
        </w:rPr>
      </w:pPr>
      <w:r>
        <w:rPr>
          <w:rFonts w:eastAsia="微软雅黑"/>
          <w:szCs w:val="21"/>
        </w:rPr>
        <w:t>班前会的HSE培训</w:t>
      </w:r>
    </w:p>
    <w:p>
      <w:pPr>
        <w:pStyle w:val="7"/>
        <w:numPr>
          <w:ilvl w:val="0"/>
          <w:numId w:val="10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工作安全分析（JSA工具）</w:t>
      </w:r>
    </w:p>
    <w:p>
      <w:pPr>
        <w:pStyle w:val="7"/>
        <w:numPr>
          <w:ilvl w:val="0"/>
          <w:numId w:val="10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安全监察</w:t>
      </w:r>
    </w:p>
    <w:p>
      <w:pPr>
        <w:pStyle w:val="7"/>
        <w:numPr>
          <w:ilvl w:val="0"/>
          <w:numId w:val="6"/>
        </w:numPr>
        <w:spacing w:line="480" w:lineRule="exact"/>
        <w:ind w:left="420" w:leftChars="0" w:hanging="420" w:firstLineChars="0"/>
        <w:rPr>
          <w:rFonts w:eastAsia="微软雅黑"/>
          <w:szCs w:val="21"/>
        </w:rPr>
      </w:pPr>
      <w:r>
        <w:rPr>
          <w:rFonts w:eastAsia="微软雅黑"/>
          <w:szCs w:val="21"/>
        </w:rPr>
        <w:t>亡羊补牢之应急事故管理及处理技巧</w:t>
      </w:r>
    </w:p>
    <w:p>
      <w:pPr>
        <w:spacing w:line="480" w:lineRule="exact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结束语：再好的技术，再完美的规章，在实际操作层面也无法取代人自身的素质和责任心</w:t>
      </w:r>
    </w:p>
    <w:p>
      <w:pPr>
        <w:pStyle w:val="7"/>
        <w:numPr>
          <w:ilvl w:val="0"/>
          <w:numId w:val="11"/>
        </w:numPr>
        <w:spacing w:line="480" w:lineRule="exact"/>
        <w:ind w:left="420" w:leftChars="0" w:hanging="420" w:firstLineChars="0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课程总结和收益：了解现场安全管理的方式方法，学会如何展开全员安全教育、编制企业各类安全检查表，掌握企业安全合规性管理</w:t>
      </w:r>
    </w:p>
    <w:p>
      <w:pPr>
        <w:pStyle w:val="7"/>
        <w:numPr>
          <w:ilvl w:val="0"/>
          <w:numId w:val="11"/>
        </w:numPr>
        <w:spacing w:line="480" w:lineRule="exact"/>
        <w:ind w:left="420" w:leftChars="0" w:hanging="420" w:firstLineChars="0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课程输出：安全法规</w:t>
      </w:r>
    </w:p>
    <w:p>
      <w:pPr>
        <w:numPr>
          <w:ilvl w:val="0"/>
          <w:numId w:val="0"/>
        </w:numPr>
        <w:spacing w:line="480" w:lineRule="exact"/>
        <w:ind w:leftChars="200"/>
        <w:rPr>
          <w:rFonts w:eastAsia="微软雅黑"/>
          <w:b/>
          <w:bCs/>
          <w:szCs w:val="21"/>
        </w:rPr>
      </w:pPr>
      <w:r>
        <w:rPr>
          <w:rFonts w:eastAsia="微软雅黑"/>
          <w:b/>
          <w:szCs w:val="21"/>
          <w:u w:val="single"/>
        </w:rPr>
        <w:t>安全监察表</w:t>
      </w:r>
    </w:p>
    <w:p>
      <w:pPr>
        <w:spacing w:line="4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第五讲：职业健康篇</w:t>
      </w:r>
    </w:p>
    <w:p>
      <w:pPr>
        <w:spacing w:line="480" w:lineRule="exact"/>
        <w:rPr>
          <w:rFonts w:eastAsia="微软雅黑"/>
          <w:b/>
          <w:szCs w:val="21"/>
        </w:rPr>
      </w:pPr>
      <w:r>
        <w:rPr>
          <w:rFonts w:eastAsia="微软雅黑"/>
          <w:b/>
          <w:bCs/>
          <w:szCs w:val="21"/>
        </w:rPr>
        <w:t>开篇：开胸验肺的悲剧</w:t>
      </w:r>
    </w:p>
    <w:p>
      <w:pPr>
        <w:pStyle w:val="7"/>
        <w:numPr>
          <w:ilvl w:val="0"/>
          <w:numId w:val="12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凡是因工作原因所导致的疾病都是职业病吗？</w:t>
      </w:r>
    </w:p>
    <w:p>
      <w:pPr>
        <w:pStyle w:val="7"/>
        <w:numPr>
          <w:ilvl w:val="0"/>
          <w:numId w:val="12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职业卫生“三同时”</w:t>
      </w:r>
    </w:p>
    <w:p>
      <w:pPr>
        <w:pStyle w:val="7"/>
        <w:numPr>
          <w:ilvl w:val="0"/>
          <w:numId w:val="12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职业病鉴定</w:t>
      </w:r>
    </w:p>
    <w:p>
      <w:pPr>
        <w:pStyle w:val="7"/>
        <w:numPr>
          <w:ilvl w:val="0"/>
          <w:numId w:val="12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新员工入职的职业危害告知</w:t>
      </w:r>
    </w:p>
    <w:p>
      <w:pPr>
        <w:pStyle w:val="7"/>
        <w:numPr>
          <w:ilvl w:val="0"/>
          <w:numId w:val="12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职业危害防治方法</w:t>
      </w:r>
    </w:p>
    <w:p>
      <w:pPr>
        <w:pStyle w:val="7"/>
        <w:numPr>
          <w:ilvl w:val="0"/>
          <w:numId w:val="12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职业危害因素监控</w:t>
      </w:r>
    </w:p>
    <w:p>
      <w:pPr>
        <w:pStyle w:val="7"/>
        <w:numPr>
          <w:ilvl w:val="0"/>
          <w:numId w:val="12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现场职业危害标识</w:t>
      </w:r>
    </w:p>
    <w:p>
      <w:pPr>
        <w:pStyle w:val="7"/>
        <w:numPr>
          <w:ilvl w:val="0"/>
          <w:numId w:val="12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体检与职业健康监护</w:t>
      </w:r>
    </w:p>
    <w:p>
      <w:pPr>
        <w:spacing w:line="480" w:lineRule="exact"/>
        <w:rPr>
          <w:rFonts w:eastAsia="微软雅黑"/>
          <w:b/>
          <w:szCs w:val="21"/>
          <w:u w:val="single"/>
        </w:rPr>
      </w:pPr>
      <w:r>
        <w:rPr>
          <w:rStyle w:val="6"/>
          <w:rFonts w:eastAsia="微软雅黑"/>
          <w:szCs w:val="21"/>
          <w:u w:val="single"/>
        </w:rPr>
        <w:t>结束语：保护员工健康是我们共同的责任</w:t>
      </w:r>
    </w:p>
    <w:p>
      <w:pPr>
        <w:pStyle w:val="7"/>
        <w:numPr>
          <w:ilvl w:val="0"/>
          <w:numId w:val="13"/>
        </w:numPr>
        <w:spacing w:line="480" w:lineRule="exact"/>
        <w:ind w:left="420" w:leftChars="0" w:hanging="420" w:firstLineChars="0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课程总结和收益：理解职业危害因素与职业病的关系，掌握企业内部职业病防治的方式方法；</w:t>
      </w:r>
    </w:p>
    <w:p>
      <w:pPr>
        <w:pStyle w:val="7"/>
        <w:numPr>
          <w:ilvl w:val="0"/>
          <w:numId w:val="13"/>
        </w:numPr>
        <w:spacing w:line="480" w:lineRule="exact"/>
        <w:ind w:left="420" w:leftChars="0" w:hanging="420" w:firstLineChars="0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课程输出：职业健康监护档案。</w:t>
      </w:r>
    </w:p>
    <w:p>
      <w:pPr>
        <w:spacing w:line="4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第六讲：HSE文化篇</w:t>
      </w:r>
    </w:p>
    <w:p>
      <w:pPr>
        <w:spacing w:line="480" w:lineRule="exact"/>
        <w:rPr>
          <w:rFonts w:eastAsia="微软雅黑"/>
          <w:b/>
          <w:szCs w:val="21"/>
        </w:rPr>
      </w:pPr>
      <w:r>
        <w:rPr>
          <w:rFonts w:eastAsia="微软雅黑"/>
          <w:b/>
          <w:bCs/>
          <w:szCs w:val="21"/>
        </w:rPr>
        <w:t>开篇：人管人累死人，制度管人，文化管人管住魂。</w:t>
      </w:r>
    </w:p>
    <w:p>
      <w:pPr>
        <w:pStyle w:val="7"/>
        <w:numPr>
          <w:ilvl w:val="0"/>
          <w:numId w:val="14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HSE委员会</w:t>
      </w:r>
    </w:p>
    <w:p>
      <w:pPr>
        <w:pStyle w:val="7"/>
        <w:numPr>
          <w:ilvl w:val="0"/>
          <w:numId w:val="14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物质文化</w:t>
      </w:r>
    </w:p>
    <w:p>
      <w:pPr>
        <w:pStyle w:val="7"/>
        <w:numPr>
          <w:ilvl w:val="0"/>
          <w:numId w:val="14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制度文化</w:t>
      </w:r>
    </w:p>
    <w:p>
      <w:pPr>
        <w:pStyle w:val="7"/>
        <w:numPr>
          <w:ilvl w:val="0"/>
          <w:numId w:val="14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精神文化</w:t>
      </w:r>
    </w:p>
    <w:p>
      <w:pPr>
        <w:pStyle w:val="7"/>
        <w:numPr>
          <w:ilvl w:val="0"/>
          <w:numId w:val="14"/>
        </w:numPr>
        <w:spacing w:line="480" w:lineRule="exact"/>
        <w:ind w:left="420" w:leftChars="0" w:hanging="420" w:hangingChars="200"/>
        <w:rPr>
          <w:rFonts w:eastAsia="微软雅黑"/>
          <w:szCs w:val="21"/>
        </w:rPr>
      </w:pPr>
      <w:r>
        <w:rPr>
          <w:rFonts w:eastAsia="微软雅黑"/>
          <w:szCs w:val="21"/>
        </w:rPr>
        <w:t>价值及行为规范文化</w:t>
      </w:r>
    </w:p>
    <w:p>
      <w:pPr>
        <w:spacing w:line="480" w:lineRule="exact"/>
        <w:rPr>
          <w:rFonts w:eastAsia="微软雅黑"/>
          <w:b/>
          <w:szCs w:val="21"/>
          <w:u w:val="single"/>
        </w:rPr>
      </w:pPr>
      <w:r>
        <w:rPr>
          <w:rStyle w:val="6"/>
          <w:rFonts w:eastAsia="微软雅黑"/>
          <w:szCs w:val="21"/>
          <w:u w:val="single"/>
        </w:rPr>
        <w:t>结束语：企业管理的最高境界是文化管理</w:t>
      </w:r>
    </w:p>
    <w:p>
      <w:pPr>
        <w:pStyle w:val="7"/>
        <w:numPr>
          <w:ilvl w:val="0"/>
          <w:numId w:val="15"/>
        </w:numPr>
        <w:spacing w:line="480" w:lineRule="exact"/>
        <w:ind w:left="420" w:leftChars="0" w:hanging="420" w:firstLineChars="0"/>
        <w:rPr>
          <w:rFonts w:eastAsia="微软雅黑"/>
          <w:b/>
          <w:szCs w:val="21"/>
          <w:u w:val="single"/>
        </w:rPr>
      </w:pPr>
      <w:r>
        <w:rPr>
          <w:rFonts w:eastAsia="微软雅黑"/>
          <w:b/>
          <w:szCs w:val="21"/>
          <w:u w:val="single"/>
        </w:rPr>
        <w:t>课程收益：理解安全文化的重要性，掌握HSE委员会的建立和工作的展开；</w:t>
      </w:r>
    </w:p>
    <w:p>
      <w:pPr>
        <w:pStyle w:val="7"/>
        <w:numPr>
          <w:ilvl w:val="0"/>
          <w:numId w:val="15"/>
        </w:numPr>
        <w:spacing w:line="480" w:lineRule="exact"/>
        <w:ind w:left="420" w:leftChars="0" w:hanging="420" w:firstLineChars="0"/>
        <w:rPr>
          <w:rFonts w:eastAsia="微软雅黑"/>
          <w:b/>
          <w:bCs/>
          <w:sz w:val="24"/>
        </w:rPr>
      </w:pPr>
      <w:r>
        <w:rPr>
          <w:rFonts w:eastAsia="微软雅黑"/>
          <w:b/>
          <w:szCs w:val="21"/>
          <w:u w:val="single"/>
        </w:rPr>
        <w:t>课程输出：年度安全文化活动计划</w:t>
      </w:r>
    </w:p>
    <w:p>
      <w:pPr>
        <w:spacing w:line="4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结束篇</w:t>
      </w:r>
    </w:p>
    <w:p>
      <w:pPr>
        <w:spacing w:line="4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充分运用课程知识，针对某公司改建车间的HES管理案例进行分析</w:t>
      </w:r>
    </w:p>
    <w:p>
      <w:pPr>
        <w:spacing w:line="480" w:lineRule="exact"/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Style w:val="8"/>
          <w:rFonts w:hint="default" w:ascii="Times New Roman" w:hAnsi="Times New Roman"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Style w:val="8"/>
          <w:rFonts w:hint="default" w:ascii="Times New Roman" w:hAnsi="Times New Roman"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周老师</w:t>
      </w:r>
    </w:p>
    <w:p>
      <w:pPr>
        <w:spacing w:line="480" w:lineRule="exact"/>
        <w:ind w:left="155" w:hanging="155" w:hangingChars="74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授课风格：                                                                   </w:t>
      </w:r>
    </w:p>
    <w:p>
      <w:pPr>
        <w:tabs>
          <w:tab w:val="left" w:pos="420"/>
        </w:tabs>
        <w:spacing w:line="480" w:lineRule="exact"/>
        <w:ind w:firstLine="420" w:firstLineChars="200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具有近二十年讲师经历的周老师的授课：案例丰富、课程生动、幽默，讲解深入浅出。对参训者具有极大的吸引力、感染力和意想不到的后续效果，深受学员欢迎。</w:t>
      </w:r>
    </w:p>
    <w:p>
      <w:pPr>
        <w:spacing w:line="480" w:lineRule="exact"/>
        <w:ind w:left="155" w:hanging="155" w:hangingChars="74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培训专长：                                                                   </w:t>
      </w:r>
    </w:p>
    <w:p>
      <w:pPr>
        <w:pStyle w:val="7"/>
        <w:numPr>
          <w:ilvl w:val="0"/>
          <w:numId w:val="16"/>
        </w:numPr>
        <w:tabs>
          <w:tab w:val="left" w:pos="420"/>
        </w:tabs>
        <w:spacing w:line="480" w:lineRule="exact"/>
        <w:ind w:left="155" w:hanging="155" w:hangingChars="74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QEHS内审员培训系列：</w:t>
      </w:r>
    </w:p>
    <w:p>
      <w:pPr>
        <w:pStyle w:val="7"/>
        <w:tabs>
          <w:tab w:val="left" w:pos="420"/>
        </w:tabs>
        <w:spacing w:line="480" w:lineRule="exact"/>
        <w:ind w:left="155" w:hanging="155" w:hangingChars="74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ISO9001、14001、45001、QC080000体系</w:t>
      </w:r>
    </w:p>
    <w:p>
      <w:pPr>
        <w:pStyle w:val="7"/>
        <w:numPr>
          <w:ilvl w:val="0"/>
          <w:numId w:val="16"/>
        </w:numPr>
        <w:tabs>
          <w:tab w:val="left" w:pos="420"/>
        </w:tabs>
        <w:spacing w:line="480" w:lineRule="exact"/>
        <w:ind w:left="155" w:hanging="155" w:hangingChars="74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企业EHS专业管理系列；</w:t>
      </w:r>
    </w:p>
    <w:p>
      <w:pPr>
        <w:pStyle w:val="7"/>
        <w:numPr>
          <w:ilvl w:val="0"/>
          <w:numId w:val="17"/>
        </w:numPr>
        <w:tabs>
          <w:tab w:val="left" w:pos="420"/>
        </w:tabs>
        <w:spacing w:line="480" w:lineRule="exact"/>
        <w:ind w:left="420" w:leftChars="0" w:hanging="420" w:firstLineChars="0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环境因素与危险源辨识及其风险控制技术；</w:t>
      </w:r>
    </w:p>
    <w:p>
      <w:pPr>
        <w:pStyle w:val="7"/>
        <w:numPr>
          <w:ilvl w:val="0"/>
          <w:numId w:val="17"/>
        </w:numPr>
        <w:tabs>
          <w:tab w:val="left" w:pos="420"/>
        </w:tabs>
        <w:spacing w:line="480" w:lineRule="exact"/>
        <w:ind w:left="420" w:leftChars="0" w:hanging="420" w:firstLineChars="0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EHS工程师能力提升暨零事故环境、安全与职业健康管理</w:t>
      </w:r>
    </w:p>
    <w:p>
      <w:pPr>
        <w:pStyle w:val="7"/>
        <w:numPr>
          <w:ilvl w:val="0"/>
          <w:numId w:val="17"/>
        </w:numPr>
        <w:tabs>
          <w:tab w:val="left" w:pos="420"/>
        </w:tabs>
        <w:spacing w:line="480" w:lineRule="exact"/>
        <w:ind w:left="420" w:leftChars="0" w:hanging="420" w:firstLineChars="0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企业安全管理责任意识提升</w:t>
      </w:r>
    </w:p>
    <w:p>
      <w:pPr>
        <w:pStyle w:val="7"/>
        <w:numPr>
          <w:ilvl w:val="0"/>
          <w:numId w:val="17"/>
        </w:numPr>
        <w:tabs>
          <w:tab w:val="left" w:pos="420"/>
        </w:tabs>
        <w:spacing w:line="480" w:lineRule="exact"/>
        <w:ind w:left="420" w:leftChars="0" w:hanging="420" w:firstLineChars="0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EHS法律法规要求与合规性管理</w:t>
      </w:r>
    </w:p>
    <w:p>
      <w:pPr>
        <w:pStyle w:val="7"/>
        <w:numPr>
          <w:ilvl w:val="0"/>
          <w:numId w:val="17"/>
        </w:numPr>
        <w:tabs>
          <w:tab w:val="left" w:pos="420"/>
        </w:tabs>
        <w:spacing w:line="480" w:lineRule="exact"/>
        <w:ind w:left="420" w:leftChars="0" w:hanging="420" w:firstLineChars="0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危险化学品安全管理知识；</w:t>
      </w:r>
    </w:p>
    <w:p>
      <w:pPr>
        <w:pStyle w:val="7"/>
        <w:numPr>
          <w:ilvl w:val="0"/>
          <w:numId w:val="17"/>
        </w:numPr>
        <w:tabs>
          <w:tab w:val="left" w:pos="420"/>
        </w:tabs>
        <w:spacing w:line="480" w:lineRule="exact"/>
        <w:ind w:left="420" w:leftChars="0" w:hanging="420" w:firstLineChars="0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设备检维修之临时危险作业管理</w:t>
      </w:r>
    </w:p>
    <w:p>
      <w:pPr>
        <w:pStyle w:val="7"/>
        <w:numPr>
          <w:ilvl w:val="0"/>
          <w:numId w:val="17"/>
        </w:numPr>
        <w:tabs>
          <w:tab w:val="left" w:pos="420"/>
        </w:tabs>
        <w:spacing w:line="480" w:lineRule="exact"/>
        <w:ind w:left="420" w:leftChars="0" w:hanging="420" w:firstLineChars="0"/>
        <w:jc w:val="left"/>
        <w:rPr>
          <w:rFonts w:eastAsia="微软雅黑"/>
          <w:szCs w:val="21"/>
        </w:rPr>
      </w:pPr>
      <w:r>
        <w:rPr>
          <w:rFonts w:eastAsia="微软雅黑"/>
          <w:szCs w:val="21"/>
        </w:rPr>
        <w:t>JSA工作安全分析</w:t>
      </w:r>
    </w:p>
    <w:p>
      <w:pPr>
        <w:pStyle w:val="7"/>
        <w:numPr>
          <w:ilvl w:val="0"/>
          <w:numId w:val="17"/>
        </w:numPr>
        <w:tabs>
          <w:tab w:val="left" w:pos="420"/>
        </w:tabs>
        <w:spacing w:line="480" w:lineRule="exact"/>
        <w:ind w:left="420" w:leftChars="0" w:hanging="420" w:firstLineChars="0"/>
        <w:jc w:val="left"/>
        <w:rPr>
          <w:rFonts w:hint="eastAsia" w:hAnsi="微软雅黑" w:eastAsia="微软雅黑"/>
          <w:szCs w:val="24"/>
        </w:rPr>
      </w:pPr>
      <w:r>
        <w:rPr>
          <w:rFonts w:eastAsia="微软雅黑"/>
          <w:szCs w:val="21"/>
        </w:rPr>
        <w:t>KYT危险预知训练</w:t>
      </w:r>
    </w:p>
    <w:p>
      <w:pPr>
        <w:spacing w:line="480" w:lineRule="exact"/>
        <w:ind w:left="155" w:hanging="155" w:hangingChars="74"/>
        <w:jc w:val="lef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 xml:space="preserve">授课辅导经历                                                                  </w:t>
      </w:r>
    </w:p>
    <w:p>
      <w:pPr>
        <w:tabs>
          <w:tab w:val="left" w:pos="318"/>
          <w:tab w:val="left" w:pos="744"/>
        </w:tabs>
        <w:spacing w:line="480" w:lineRule="exact"/>
        <w:ind w:left="155" w:hanging="155" w:hangingChars="74"/>
        <w:jc w:val="left"/>
        <w:rPr>
          <w:rFonts w:hint="eastAsia" w:eastAsia="微软雅黑"/>
          <w:szCs w:val="21"/>
          <w:lang w:eastAsia="zh-CN"/>
        </w:rPr>
      </w:pPr>
      <w:r>
        <w:rPr>
          <w:rFonts w:eastAsia="微软雅黑"/>
          <w:szCs w:val="21"/>
        </w:rPr>
        <w:t>1.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化工类：燕山石化、星湖科技、江山制药、长春化工、博徳化工、建滔化工、确信乐思、雅士利涂料、恒顺达化工、竹本油脂、美克尼化工、罗森化工、湛新树脂、泰柯宗化、贝特利、扬州中化码头、阿朗台橡化学、依工聚合等</w:t>
      </w:r>
      <w:r>
        <w:rPr>
          <w:rFonts w:hint="eastAsia" w:eastAsia="微软雅黑"/>
          <w:szCs w:val="21"/>
          <w:lang w:eastAsia="zh-CN"/>
        </w:rPr>
        <w:t>；</w:t>
      </w:r>
    </w:p>
    <w:p>
      <w:pPr>
        <w:tabs>
          <w:tab w:val="left" w:pos="318"/>
          <w:tab w:val="left" w:pos="744"/>
        </w:tabs>
        <w:spacing w:line="480" w:lineRule="exact"/>
        <w:ind w:left="155" w:hanging="155" w:hangingChars="74"/>
        <w:jc w:val="left"/>
        <w:rPr>
          <w:rFonts w:hint="eastAsia" w:eastAsia="微软雅黑"/>
          <w:szCs w:val="21"/>
          <w:lang w:eastAsia="zh-CN"/>
        </w:rPr>
      </w:pPr>
      <w:r>
        <w:rPr>
          <w:rFonts w:eastAsia="微软雅黑"/>
          <w:szCs w:val="21"/>
        </w:rPr>
        <w:t>2.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轻工机械类：首屋尔金属、帝达贝轴承、利欧股份、YKK AP吉田建材、帝安贝金属、诺德传动、大金空调、通鼎光电、永鼎光缆、亨通集团、中航宝胜、灏讯电缆、日立电梯、库卡机器人、彤帆智能等</w:t>
      </w:r>
      <w:r>
        <w:rPr>
          <w:rFonts w:hint="eastAsia" w:eastAsia="微软雅黑"/>
          <w:szCs w:val="21"/>
          <w:lang w:eastAsia="zh-CN"/>
        </w:rPr>
        <w:t>；</w:t>
      </w:r>
    </w:p>
    <w:p>
      <w:pPr>
        <w:tabs>
          <w:tab w:val="left" w:pos="318"/>
          <w:tab w:val="left" w:pos="744"/>
        </w:tabs>
        <w:spacing w:line="480" w:lineRule="exact"/>
        <w:ind w:left="155" w:hanging="155" w:hangingChars="74"/>
        <w:jc w:val="left"/>
        <w:rPr>
          <w:rFonts w:hint="eastAsia" w:eastAsia="微软雅黑"/>
          <w:szCs w:val="21"/>
          <w:lang w:eastAsia="zh-CN"/>
        </w:rPr>
      </w:pPr>
      <w:r>
        <w:rPr>
          <w:rFonts w:eastAsia="微软雅黑"/>
          <w:szCs w:val="21"/>
        </w:rPr>
        <w:t>3.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轻工纺织类：新民科技、盛虹科技、恒力集团、米歇尔羊毛、鼎盛丝绸、金伦织造、天迈纺织、国望高科、福华织造、中屹机械、青田制衣、震纶纺织等</w:t>
      </w:r>
      <w:r>
        <w:rPr>
          <w:rFonts w:hint="eastAsia" w:eastAsia="微软雅黑"/>
          <w:szCs w:val="21"/>
          <w:lang w:eastAsia="zh-CN"/>
        </w:rPr>
        <w:t>；</w:t>
      </w:r>
    </w:p>
    <w:p>
      <w:pPr>
        <w:tabs>
          <w:tab w:val="left" w:pos="318"/>
          <w:tab w:val="left" w:pos="744"/>
        </w:tabs>
        <w:spacing w:line="480" w:lineRule="exact"/>
        <w:ind w:left="155" w:hanging="155" w:hangingChars="74"/>
        <w:jc w:val="left"/>
        <w:rPr>
          <w:rFonts w:hint="eastAsia" w:eastAsia="微软雅黑"/>
          <w:szCs w:val="21"/>
          <w:lang w:eastAsia="zh-CN"/>
        </w:rPr>
      </w:pPr>
      <w:r>
        <w:rPr>
          <w:rFonts w:eastAsia="微软雅黑"/>
          <w:szCs w:val="21"/>
        </w:rPr>
        <w:t>4.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汽车行业：东风派恩、江淮汽车、南亚汽车、万都底盘、索格菲汽车、索菲玛汽车、安路特汽车、乔治费歇尔、大众联合、博格思众、南京马自达、江锻汽车、道氏汽车、广汽菲亚特、德科斯米尔、马勒中国、麦格纳镜像等</w:t>
      </w:r>
      <w:r>
        <w:rPr>
          <w:rFonts w:hint="eastAsia" w:eastAsia="微软雅黑"/>
          <w:szCs w:val="21"/>
          <w:lang w:eastAsia="zh-CN"/>
        </w:rPr>
        <w:t>；</w:t>
      </w:r>
    </w:p>
    <w:p>
      <w:pPr>
        <w:tabs>
          <w:tab w:val="left" w:pos="318"/>
          <w:tab w:val="left" w:pos="744"/>
        </w:tabs>
        <w:spacing w:line="480" w:lineRule="exact"/>
        <w:ind w:left="155" w:hanging="155" w:hangingChars="74"/>
        <w:jc w:val="left"/>
        <w:rPr>
          <w:rFonts w:hint="eastAsia" w:eastAsia="微软雅黑"/>
          <w:szCs w:val="21"/>
          <w:lang w:eastAsia="zh-CN"/>
        </w:rPr>
      </w:pPr>
      <w:r>
        <w:rPr>
          <w:rFonts w:eastAsia="微软雅黑"/>
          <w:szCs w:val="21"/>
        </w:rPr>
        <w:t>5.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电子行业：恩德斯豪斯、罗杰斯科技、NEC东京电子、美国超导、巨腾国际、裕廊科技、航空电子、TT电子、CBC真空电子、爱普生、三菱电机、京东方科技、三星半导体、晶品光电、惠科金渝、欧姆龙电气、金宇阳电子、通富超威（AMD）、时代芯存半导体、时代全芯科技、鸿淋电子、捷普科技、安费诺科技、能讯高能半导体、华为（上海研究中心和苏州研究中心）、五方光电、微密科技等</w:t>
      </w:r>
      <w:r>
        <w:rPr>
          <w:rFonts w:hint="eastAsia" w:eastAsia="微软雅黑"/>
          <w:szCs w:val="21"/>
          <w:lang w:eastAsia="zh-CN"/>
        </w:rPr>
        <w:t>；</w:t>
      </w:r>
    </w:p>
    <w:p>
      <w:pPr>
        <w:tabs>
          <w:tab w:val="left" w:pos="318"/>
          <w:tab w:val="left" w:pos="744"/>
        </w:tabs>
        <w:spacing w:line="480" w:lineRule="exact"/>
        <w:ind w:left="155" w:hanging="155" w:hangingChars="74"/>
        <w:jc w:val="left"/>
        <w:rPr>
          <w:rFonts w:hint="eastAsia" w:hAnsi="微软雅黑" w:eastAsia="微软雅黑"/>
          <w:szCs w:val="24"/>
          <w:lang w:eastAsia="zh-CN"/>
        </w:rPr>
      </w:pPr>
      <w:r>
        <w:rPr>
          <w:rFonts w:eastAsia="微软雅黑"/>
          <w:szCs w:val="21"/>
        </w:rPr>
        <w:t>6.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其他行业：百特医疗、张家港港务局、中兴高尔夫、南玻玻璃、卡尔玛地板、华东38所、华润集团、韩华新能源、永新玻璃、福伊特、欧普照明、NGK、佳禾食品、苏州创元股份、北美枫情、优谷科技、住理工、岛津仪器、重庆奥特斯等</w:t>
      </w:r>
      <w:r>
        <w:rPr>
          <w:rFonts w:hint="eastAsia" w:eastAsia="微软雅黑"/>
          <w:szCs w:val="21"/>
          <w:lang w:eastAsia="zh-CN"/>
        </w:rPr>
        <w:t>。</w:t>
      </w:r>
    </w:p>
    <w:p>
      <w:pPr>
        <w:jc w:val="center"/>
        <w:rPr>
          <w:rFonts w:hint="default" w:eastAsia="微软雅黑"/>
          <w:b/>
          <w:szCs w:val="21"/>
          <w:u w:val="single"/>
        </w:rPr>
      </w:pPr>
    </w:p>
    <w:sectPr>
      <w:footerReference r:id="rId3" w:type="default"/>
      <w:pgSz w:w="11906" w:h="16838"/>
      <w:pgMar w:top="1440" w:right="1519" w:bottom="1440" w:left="1519" w:header="851" w:footer="79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uZSL7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OuZSL7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1A6C9"/>
    <w:multiLevelType w:val="singleLevel"/>
    <w:tmpl w:val="9CA1A6C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141B0A7"/>
    <w:multiLevelType w:val="singleLevel"/>
    <w:tmpl w:val="A141B0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A6EE3931"/>
    <w:multiLevelType w:val="singleLevel"/>
    <w:tmpl w:val="A6EE393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B31D13AD"/>
    <w:multiLevelType w:val="singleLevel"/>
    <w:tmpl w:val="B31D13A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D9C8B222"/>
    <w:multiLevelType w:val="singleLevel"/>
    <w:tmpl w:val="D9C8B22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E4CC5491"/>
    <w:multiLevelType w:val="singleLevel"/>
    <w:tmpl w:val="E4CC549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EF6CF069"/>
    <w:multiLevelType w:val="singleLevel"/>
    <w:tmpl w:val="EF6CF06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F1A564D2"/>
    <w:multiLevelType w:val="singleLevel"/>
    <w:tmpl w:val="F1A564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078C296B"/>
    <w:multiLevelType w:val="multilevel"/>
    <w:tmpl w:val="078C296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146C1BBD"/>
    <w:multiLevelType w:val="multilevel"/>
    <w:tmpl w:val="146C1BB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0">
    <w:nsid w:val="19143A2C"/>
    <w:multiLevelType w:val="multilevel"/>
    <w:tmpl w:val="19143A2C"/>
    <w:lvl w:ilvl="0" w:tentative="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A717C4F"/>
    <w:multiLevelType w:val="multilevel"/>
    <w:tmpl w:val="2A717C4F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2A830EDD"/>
    <w:multiLevelType w:val="multilevel"/>
    <w:tmpl w:val="2A830ED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0"/>
      <w:numFmt w:val="bullet"/>
      <w:lvlText w:val="◆"/>
      <w:lvlJc w:val="left"/>
      <w:pPr>
        <w:ind w:left="780" w:hanging="360"/>
      </w:pPr>
      <w:rPr>
        <w:rFonts w:hint="eastAsia" w:ascii="宋体" w:hAnsi="宋体" w:eastAsia="宋体" w:cs="宋体"/>
      </w:rPr>
    </w:lvl>
    <w:lvl w:ilvl="2" w:tentative="0">
      <w:start w:val="0"/>
      <w:numFmt w:val="bullet"/>
      <w:lvlText w:val="◇"/>
      <w:lvlJc w:val="left"/>
      <w:pPr>
        <w:ind w:left="1200" w:hanging="360"/>
      </w:pPr>
      <w:rPr>
        <w:rFonts w:hint="eastAsia" w:ascii="宋体" w:hAnsi="宋体" w:eastAsia="宋体" w:cs="宋体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3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4">
    <w:nsid w:val="5656ABA6"/>
    <w:multiLevelType w:val="singleLevel"/>
    <w:tmpl w:val="5656ABA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5">
    <w:nsid w:val="719A02AE"/>
    <w:multiLevelType w:val="multilevel"/>
    <w:tmpl w:val="719A02AE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7B7E528D"/>
    <w:multiLevelType w:val="multilevel"/>
    <w:tmpl w:val="7B7E528D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16"/>
  </w:num>
  <w:num w:numId="13">
    <w:abstractNumId w:val="7"/>
  </w:num>
  <w:num w:numId="14">
    <w:abstractNumId w:val="15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A091A"/>
    <w:rsid w:val="25CA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List Paragraph"/>
    <w:basedOn w:val="1"/>
    <w:uiPriority w:val="0"/>
    <w:pPr>
      <w:ind w:firstLine="420" w:firstLineChars="200"/>
    </w:pPr>
  </w:style>
  <w:style w:type="character" w:customStyle="1" w:styleId="8">
    <w:name w:val="style241"/>
    <w:uiPriority w:val="0"/>
    <w:rPr>
      <w:rFonts w:hint="eastAsia"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2021-11-03T05:45:00Z</dcterms:created>
  <dc:creator>强思企管婷婷（渠道报单）</dc:creator>
  <cp:lastModifiedBy>强思企管婷婷（渠道报单）</cp:lastModifiedBy>
  <dcterms:modified xsi:type="dcterms:W3CDTF">2021-11-03T05:52:08Z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C90A6F3EF8794DF8A89A49900BBC964F</vt:lpwstr>
  </property>
</Properties>
</file>