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r>
        <w:rPr>
          <w:rFonts w:hint="eastAsia" w:ascii="微软雅黑" w:hAnsi="微软雅黑" w:eastAsia="微软雅黑" w:cs="微软雅黑"/>
          <w:b/>
          <w:color w:val="0000FF"/>
          <w:sz w:val="44"/>
        </w:rPr>
        <w:t>以目标为导向的绩效考核指标设定与绩效面谈</w:t>
      </w:r>
    </w:p>
    <w:p>
      <w:pPr>
        <w:spacing w:line="46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60" w:lineRule="exact"/>
        <w:jc w:val="lef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bookmarkStart w:id="0" w:name="_GoBack"/>
      <w:r>
        <w:rPr>
          <w:rFonts w:hint="eastAsia" w:eastAsia="微软雅黑"/>
          <w:b/>
          <w:szCs w:val="21"/>
          <w:lang w:val="en-US" w:eastAsia="zh-CN"/>
        </w:rPr>
        <w:t>4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29</w:t>
      </w:r>
      <w:r>
        <w:rPr>
          <w:rFonts w:hint="eastAsia" w:eastAsia="微软雅黑"/>
          <w:b/>
          <w:szCs w:val="21"/>
        </w:rPr>
        <w:t>日（</w:t>
      </w:r>
      <w:r>
        <w:rPr>
          <w:rFonts w:hint="eastAsia" w:eastAsia="微软雅黑"/>
          <w:b/>
          <w:szCs w:val="21"/>
          <w:lang w:val="en-US" w:eastAsia="zh-CN"/>
        </w:rPr>
        <w:t>星期五</w:t>
      </w:r>
      <w:r>
        <w:rPr>
          <w:rFonts w:hint="eastAsia" w:eastAsia="微软雅黑"/>
          <w:b/>
          <w:szCs w:val="21"/>
        </w:rPr>
        <w:t>）/上 海</w:t>
      </w:r>
    </w:p>
    <w:bookmarkEnd w:id="0"/>
    <w:p>
      <w:pPr>
        <w:spacing w:line="460" w:lineRule="exact"/>
        <w:ind w:firstLine="1891" w:firstLineChars="900"/>
        <w:jc w:val="left"/>
        <w:rPr>
          <w:rFonts w:hint="eastAsia" w:eastAsia="微软雅黑"/>
          <w:b/>
          <w:szCs w:val="21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12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9</w:t>
      </w:r>
      <w:r>
        <w:rPr>
          <w:rFonts w:hint="eastAsia" w:eastAsia="微软雅黑"/>
          <w:b/>
          <w:szCs w:val="21"/>
        </w:rPr>
        <w:t>日（</w:t>
      </w:r>
      <w:r>
        <w:rPr>
          <w:rFonts w:hint="eastAsia" w:eastAsia="微软雅黑"/>
          <w:b/>
          <w:szCs w:val="21"/>
          <w:lang w:val="en-US" w:eastAsia="zh-CN"/>
        </w:rPr>
        <w:t>星期五</w:t>
      </w:r>
      <w:r>
        <w:rPr>
          <w:rFonts w:hint="eastAsia" w:eastAsia="微软雅黑"/>
          <w:b/>
          <w:szCs w:val="21"/>
        </w:rPr>
        <w:t>）/上 海</w:t>
      </w:r>
    </w:p>
    <w:p>
      <w:pPr>
        <w:spacing w:line="460" w:lineRule="exact"/>
        <w:jc w:val="lef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2</w:t>
      </w:r>
      <w:r>
        <w:rPr>
          <w:rFonts w:hint="eastAsia" w:eastAsia="微软雅黑"/>
          <w:b/>
          <w:szCs w:val="21"/>
          <w:lang w:val="en-US" w:eastAsia="zh-CN"/>
        </w:rPr>
        <w:t>5</w:t>
      </w:r>
      <w:r>
        <w:rPr>
          <w:rFonts w:eastAsia="微软雅黑"/>
          <w:b/>
          <w:szCs w:val="21"/>
        </w:rPr>
        <w:t>00/人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建立企业管理人员对绩效管理的正确认知，从企业经营层面分析思考如何建立企业整体的绩效考核指标体系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掌握绩效指标分解的技巧与工具运用方法、绩效考核标准与权重设计的要点等实务内容，推动绩效考核的实效性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掌握绩效面谈的要点技巧，提升员工接受绩效考核与改进的意愿度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课程特色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本课程从目标管理角度出发，引导学员认识到目标-绩效管理与考核的重点与要义，学习运用科学分析工具，从企业经营层面出发分解目标并转化为部门和员工的考核指标，掌握绩效指标设计、衡量标准与权重设定的要点。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教学方式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主题讲授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案例研讨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实际演练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提问互动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企业</w:t>
      </w:r>
      <w:r>
        <w:rPr>
          <w:rFonts w:hint="eastAsia" w:ascii="Times New Roman" w:hAnsi="Times New Roman" w:eastAsia="微软雅黑" w:cs="Times New Roman"/>
          <w:color w:val="000000"/>
          <w:szCs w:val="22"/>
          <w:lang w:eastAsia="zh-CN"/>
        </w:rPr>
        <w:t>各部门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中高层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认知绩效管理与考核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绩效管理常见问题分析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缺乏目标共识--本位主义倾向，没有大局观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缺乏要点监控—目标分解没有抓住关键要因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缺乏责任意识—员工参与度低绩效沟通不良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绩效管理的三个层面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绩效考核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绩效诊断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绩效提升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建立以目标为导向以KPI为核心的绩效指标体系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KPI绩效指标分解要点原则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二八法则的运用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分析成功关键要因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KPI绩效指标的开发方法与技巧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科学分析工具运用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SWOT分析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标杆分析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头脑风暴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要因分析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系统思考、科学分析—KPI要因分解方法（SWOT分析、头脑风暴）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运用二八法则、要因分析—与KPI指标对接与设定要点与技巧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KPI绩效指标衡量标尺设定的原则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强制分布与等级评定的比较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等级设定比例要点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KPI绩效指标标准设定方法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标杆法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数据法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对比法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KPI绩效指标权重设计要点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业绩、能力、态度在绩效考核中的占比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业绩、能力、态度在绩效考核中的结果应用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业绩考核结果的应用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能力考核结果的应用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态度考核结果的应用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运用业绩与素质考核的结果综合分析与人才盘点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绩效面谈技巧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绩效面谈的目的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对绩效的表现双方有一致的看法。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指出优点所在与待改进的缺点。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双方对某项缺点所订的改进计划看法一致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协议下一个考核阶段工作要项及绩效标准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绩效面谈的原则与技巧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建立并维护彼此的信赖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鼓励部属说话、倾听而不要打岔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集中于未来而非既往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优点与缺点并重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以积极的方式结束面谈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Q&amp;A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贾老师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曾历任顾问咨询公司总经理、综合性集团/投资集团公司人力资源总监、大型培训中心经理等职，具有多种背景体制企业经营管理工作经验，二十多年人力资源与管理培训实务心得, 专精于企业内人力资源管理与发展、管理领导技能及企业内部讲师养成的培训，注重简易与实效的工作方法。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授课以实务、启发、引导见长，重视与学员间的互动与交流，使学员能够真正的“学有所得，得之能用”。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现   任：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上海交大海外教育学院特聘讲师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宝钢集团人才开发学院特聘讲师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复旦大学复泰商学院特聘讲师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上海财经大学商学院特聘讲师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主要学习研修：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历史、教育管理心理、工商管理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擅长课程：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《人力资源管理与发展》系列课程、《管理与领导技能》、《企业内讲师训练》系列课程等。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部分内训服务企业：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制造业：宝钢集团、中国商业飞机责任有限公司、松下电器、德国博世、金光（APP）集团、中国石化集团、上海电气集团、夏普（中国）企业集团、惠尔浦电器、协鑫集团、柳工机械股份、东芝信息机器有限公司、日立电梯、新大洲本田、上海造船厂、ABB变压器、松尾钢结构有限公司、三菱电梯、法国拉法基、唐纳森（亚洲）、德国博西华电器、中集（集团）远东集装箱有限公司、和成卫浴、联合利华、宝洁公司、奥迪斯西子电梯、恒力集团、威瑞工具、华立集团、一胜百模具、中纺（股份）有限公司、上海电器科学研究所（集团）有限公司、恩斯克轴承、中海油、圣马纸业、爱普生（中国）、法国液化空气（杭州）有限公司、天正集团、敏实集团、英特普莱特（中国）装饰材料有限公司、上海耀皮玻璃、天地科技股份公司、向兴集团、沪东重机、三花集团、NGK（苏州）环保陶瓷有限公司、普旭真空设备国际贸易（上海）有限公司、上海海立(集团)股份有限公司、申雅密封件有限公司、美卓机械技术（上海）有限公司、快速电梯、特灵空调系统（中国）有限公司、派克汉尼汾管理(上海)有限公司、沙钢股份、科郎设备、舜天船舶股份公司、张家港化工机械股份有限公司、宁波海天集团有限公司、徐工集团、亨通集团、南京康尼机电股份有限公司，三一重机，中轨铁道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汽车业：上海大众、上海通用汽车、长安福特马自达发电机、上海汽车工业(集团)公司、东风本田汽车有限公司、东风康明斯发动机、东风蓝鸟汽车、科世达-华阳汽车电器、联合汽车电子、延峰伟世通、长安马自达、金龙汽车、上海大众联合发展有限公司、长安汽车、泛亚汽车技术有限公司、莱尼线束系统有限公司、上海安吉斯巴鲁汽车销售服务有限公司、清华大学苏州汽车研究院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房产业：汤臣集团、复星集团、金地集团、上海保集集团、金茂集团、仁恒地产、上海绿地商业集团有限公司、上房物业、易居臣信房产、永升旭日集团、宏泉集团、上海万星房产、三盛集团、北京万科、东合置业、中金集团、置信房产、东渡集团、新城房产公司、南银物业、南京第八建筑安装公司、上海三盛宏业投资集团、苏州二建、招商局地产、上海农工商房地产、南京弘泽建设集团，上海久事置业有限公司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电子业：乐金LG显示（广州）有限公司、达丰电脑、英业达集团、中兴通讯有限公司、东方通信集团、苏州三星电子、大唐电信、中国电子科技集团公司第十、十四、十五、二十八研究所、中国电信上海研究院、德国巴鲁夫（上海）、上海惠普、波导股份有限公司、神州数码有限公司、康佳电子、凯虹电子、华威电子、欧亚测量（徕卡）、华虹NEC、创值工业、东软集团、保力马科技、金斯顿芯片、达方电子、明基集团、泰金宝电子、峻凌电子、AMD、英顺达电子、贝岭电子、沪士电子、扬宣电子、广达电脑、上海仪表、扬名光学、楼氏电子、三原电缆、千欣仪器、爱威电子、四川长虹、上海天道启科、华虹集成电路、堡盟电子、怡得乐电子、公牛电器、上海亨通宏普通信技术有限公司、东山精密、精研科技、南京创维、赛腾精密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零售业：瑞表集团、香港新世界百货、上海第一八佰伴、上海东方商厦、三联集团、上海联华超市、华地企业（集团）、永乐家电、苏宁电器、李宁体育、美津浓、美特斯邦威、百安居、国美电器、南京烟草专卖局、法国安达屋、成都道洋电脑、罗兰家纺、利郎服装、美琳凯、相宜本草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信息业：中国移动、中国联通、盛大网络、上海电子商务管理有限公司、上海有线网络有限公司（上海热线）中国(上海)电信、上海邮电通信、法国申美（上海）商品检验检测公司、中国(苏州)电信、湖北通信服务公司、南天电脑系统有限公司、泰为信息技术（上海）有限公司、篱笆网、上海第九城市信息技术有限公司、宝信软件、淘米软件、龙芯梦兰、途牛旅游网、凌志软件股份有限公司、云汉芯城（上海）互联网科技股份有限公司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、上海长宁妇幼保健医院、信谊金朱药业、上海儿童医院、中华药业、菲尼克斯生物化学（苏州）有限公司、碧迪快速诊断产品（苏州）有限公司、上海腾瑞制药有限公司、海力生制药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运输业：中国远洋运输（集团）、百岁物流、东方航空、上海图书进出口公司、上海大众集团、上海巴士集团、上海沪东集装箱码头有限公司、丹沙中福货运（DHL）、上气销售、上海恒荣货运有限公司、上海磁浮交通、台骅国际、中国国际航空、上海浦东国际集装箱码头有限公司、上海外高桥贸易进出口有限公司、上海东方远航物流有限公司、上海浦东国际机场、云南机场有限责任公司、南京全程物流、大航国际货运有限公司、苏嘉甬高速公路有限公司、南方航空、江苏邮政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金融业：上海浦东发展银行、中国银行、新华人寿、生命人寿、交通银行、交银施罗德基金、国泰君安证券、建设银行、瑞穗实业银行、招商银行、农业银行、建设银行、东吴证券、中国证券登记结算有限责任公司上海分公司 、光大永明人寿保险有限公司、国泰人寿、工商银行、中国人保、中国太保、建信人寿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食品业：统一集团、不凡帝梅特勒糖果、箭牌糖果、海霸王食品、养生堂、东福集团、福喜食品、立顿茶、上海烟草、德之馨香料、上海烟草集团、南京烟草、中萃食品有限公司、农夫山泉、三得利啤酒\食品、贝因美集团、浙江商源食品、英博金陵啤酒有限公司、华润食品饮料（成都）有限公司、格力高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szCs w:val="21"/>
        </w:rPr>
        <w:t>其  它：韦博英语、德勤会计事务所、中国东方红卫星股份有限公司、上海文广新闻传媒集团（SMG）、上海广电集团（SVA）、上海人民广播电台、文新报业集团、中国电力投资集团、劳氏船级社（中国）有限公司、上海集成电路研究中心秦山核电公司、上海现代设计集团、新华传媒集团、田湾核电公司、华映文化传媒、上海证券报社、国家电网浙江电力、黄河上游水电公司、上海兴国宾馆、武汉国有资产经营公司、中海油能源发展股份有限公司、上海京昆艺术中心、江苏南京地税局、浦东科创集团、上海城投水务（集团）有限公司</w:t>
      </w:r>
    </w:p>
    <w:p>
      <w:pPr>
        <w:rPr>
          <w:rFonts w:hint="eastAsia" w:ascii="黑体" w:eastAsia="黑体"/>
          <w:sz w:val="28"/>
        </w:rPr>
      </w:pP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E6CCF"/>
    <w:multiLevelType w:val="singleLevel"/>
    <w:tmpl w:val="974E6C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D15AD7C"/>
    <w:multiLevelType w:val="singleLevel"/>
    <w:tmpl w:val="9D15AD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27056BD"/>
    <w:multiLevelType w:val="singleLevel"/>
    <w:tmpl w:val="A27056B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1673C2D"/>
    <w:multiLevelType w:val="singleLevel"/>
    <w:tmpl w:val="E1673C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1026E31"/>
    <w:multiLevelType w:val="singleLevel"/>
    <w:tmpl w:val="01026E3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7E3F6A6"/>
    <w:multiLevelType w:val="singleLevel"/>
    <w:tmpl w:val="17E3F6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5C64B9F2"/>
    <w:multiLevelType w:val="singleLevel"/>
    <w:tmpl w:val="5C64B9F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5F07438F"/>
    <w:multiLevelType w:val="singleLevel"/>
    <w:tmpl w:val="5F0743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6E5E"/>
    <w:rsid w:val="70A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2021-11-18T08:24:00Z</dcterms:created>
  <dc:creator>强思企管婷婷（渠道报单）</dc:creator>
  <cp:lastModifiedBy>强思企管婷婷（渠道报单）</cp:lastModifiedBy>
  <dcterms:modified xsi:type="dcterms:W3CDTF">2021-11-18T08:27:09Z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2B94860AEDEB43FA96DAC66F07C40832</vt:lpwstr>
  </property>
</Properties>
</file>