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eastAsia="微软雅黑"/>
          <w:b/>
          <w:color w:val="0000FF"/>
          <w:sz w:val="44"/>
        </w:rPr>
      </w:pPr>
      <w:bookmarkStart w:id="0" w:name="_GoBack"/>
      <w:r>
        <w:rPr>
          <w:rFonts w:hint="eastAsia" w:eastAsia="微软雅黑"/>
          <w:b/>
          <w:color w:val="0000FF"/>
          <w:sz w:val="44"/>
        </w:rPr>
        <w:t>共同频道-360度高效沟通力提升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000000"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培训时间/地点：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202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2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5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月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30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~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  <w:lang w:val="en-US" w:eastAsia="zh-CN"/>
        </w:rPr>
        <w:t>31</w:t>
      </w:r>
      <w:r>
        <w:rPr>
          <w:rFonts w:hint="default" w:ascii="Times New Roman" w:hAnsi="Times New Roman" w:eastAsia="微软雅黑" w:cs="Times New Roman"/>
          <w:b/>
          <w:color w:val="000000"/>
          <w:szCs w:val="21"/>
        </w:rPr>
        <w:t>日（星期一 ~ 星期二）/上 海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收费标准：</w:t>
      </w:r>
      <w:r>
        <w:rPr>
          <w:rFonts w:hint="default" w:ascii="Times New Roman" w:hAnsi="Times New Roman" w:eastAsia="微软雅黑" w:cs="Times New Roman"/>
          <w:b/>
          <w:szCs w:val="21"/>
        </w:rPr>
        <w:t>￥</w:t>
      </w:r>
      <w:r>
        <w:rPr>
          <w:rFonts w:hint="default" w:ascii="Times New Roman" w:hAnsi="Times New Roman" w:eastAsia="微软雅黑" w:cs="Times New Roman"/>
          <w:b/>
          <w:szCs w:val="21"/>
          <w:lang w:val="en-US" w:eastAsia="zh-CN"/>
        </w:rPr>
        <w:t>40</w:t>
      </w:r>
      <w:r>
        <w:rPr>
          <w:rFonts w:hint="default" w:ascii="Times New Roman" w:hAnsi="Times New Roman" w:eastAsia="微软雅黑" w:cs="Times New Roman"/>
          <w:b/>
          <w:szCs w:val="21"/>
        </w:rPr>
        <w:t>00/人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含授课费、证书费、资料费、午餐费、茶点费、会务费、税费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不包含学员往返培训场地的交通费用、住宿费用，早餐及晚餐 </w:t>
      </w:r>
    </w:p>
    <w:p>
      <w:pPr>
        <w:keepNext w:val="0"/>
        <w:keepLines w:val="0"/>
        <w:pageBreakBefore w:val="0"/>
        <w:tabs>
          <w:tab w:val="left" w:pos="3858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tabs>
          <w:tab w:val="left" w:pos="3858"/>
        </w:tabs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课程背景：</w:t>
      </w:r>
      <w:r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本课程将传统的沟通技巧进行了优化处理，并对沟通提出最新的思路和模型，更加适用于实战和日常工作中。现在企业中的优秀人员，重点就在于是否具备了卓越的沟通协调的能力，通过此能力从而完成一次次内外部的合作，达成企业需要的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ind w:firstLine="420" w:firstLineChars="20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2116455</wp:posOffset>
            </wp:positionH>
            <wp:positionV relativeFrom="paragraph">
              <wp:posOffset>1059815</wp:posOffset>
            </wp:positionV>
            <wp:extent cx="1889760" cy="2143760"/>
            <wp:effectExtent l="0" t="0" r="10160" b="7620"/>
            <wp:wrapNone/>
            <wp:docPr id="5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89760" cy="2143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微软雅黑" w:cs="Times New Roman"/>
        </w:rPr>
        <w:t>本课程以高老师的专著《沟通的艺术》为理论基础，打造360度全方位沟通的能力，包括：对上级的沟通、对下级的沟通、跨部门沟通以及对外部的沟通，层层递进，强化现场实践与练习，使学员能学以致用，学有所得。通过独特而创新的“沟通工作坊”方式让学员在游戏中学习，并将学习成果有效转化为实际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color w:val="000000"/>
          <w:sz w:val="24"/>
          <w:szCs w:val="24"/>
          <w:shd w:val="clear" w:color="auto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center"/>
        <w:textAlignment w:val="auto"/>
        <w:rPr>
          <w:rFonts w:hint="default" w:ascii="Times New Roman" w:hAnsi="Times New Roman" w:eastAsia="微软雅黑" w:cs="Times New Roman"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bCs/>
          <w:sz w:val="28"/>
          <w:szCs w:val="24"/>
        </w:rPr>
        <w:t>360度全方位沟通模型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参训对象：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</w:rPr>
        <w:t>企业中高层或者其他致力于提高沟通能力的企业学员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授课形式：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知识讲解、案例分析讨论、角色演练、小组讨论、互动交流、游戏感悟、头脑风暴、强调学员参与。</w:t>
      </w:r>
    </w:p>
    <w:p>
      <w:pPr>
        <w:pStyle w:val="7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after="0"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hint="default" w:ascii="Times New Roman" w:hAnsi="Times New Roman" w:eastAsia="微软雅黑" w:cs="Times New Roman"/>
          <w:b/>
          <w:color w:val="C00000"/>
          <w:kern w:val="2"/>
          <w:sz w:val="24"/>
          <w:szCs w:val="24"/>
          <w:lang w:val="en-US" w:eastAsia="zh-CN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课程大纲：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220" w:hanging="220" w:firstLineChars="0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360度全方位沟通瓶颈与障碍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沟通的目的不清晰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向上沟通缺少胆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向下沟通缺少心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平心沟通缺少度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对外沟通缺少量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220" w:hanging="220" w:firstLineChars="0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360度全方位沟通基本心态与技能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3586480</wp:posOffset>
            </wp:positionH>
            <wp:positionV relativeFrom="paragraph">
              <wp:posOffset>78740</wp:posOffset>
            </wp:positionV>
            <wp:extent cx="1988820" cy="1859280"/>
            <wp:effectExtent l="0" t="0" r="8890" b="12700"/>
            <wp:wrapSquare wrapText="bothSides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888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微软雅黑" w:cs="Times New Roman"/>
        </w:rPr>
        <w:t>高情商沟通的8种“心态”策略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小我变大我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被动变主动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痛苦变快乐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重智商变重情商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重过程变重效果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苦劳变功劳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失望变希望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3281680</wp:posOffset>
            </wp:positionH>
            <wp:positionV relativeFrom="paragraph">
              <wp:posOffset>86360</wp:posOffset>
            </wp:positionV>
            <wp:extent cx="2727960" cy="1643380"/>
            <wp:effectExtent l="0" t="0" r="0" b="5080"/>
            <wp:wrapSquare wrapText="bothSides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7960" cy="1643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微软雅黑" w:cs="Times New Roman"/>
        </w:rPr>
        <w:t>埋怨变感恩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沟通的新模式认知和理解（1+4模型）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围绕核心一个“核心目的”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“充分的了解”技巧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“有效的交互”技巧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“合理的运用”技巧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“快速的达成”技巧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220" w:hanging="220" w:firstLineChars="0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沟通风格测试与理解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PDP/DISC性格特质测试与分析（多角色换位理解）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认知自己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了解他人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bCs/>
        </w:rPr>
      </w:pPr>
      <w:r>
        <w:rPr>
          <w:rFonts w:hint="default" w:ascii="Times New Roman" w:hAnsi="Times New Roman" w:eastAsia="微软雅黑" w:cs="Times New Roman"/>
          <w:b/>
          <w:bCs/>
        </w:rPr>
        <w:t>实战练习——与不同的“你”对话（掌握多角色思考的技巧）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220" w:hanging="220" w:firstLineChars="0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向上沟通与向下沟通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向上沟通重中之重是“理解”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与上级沟通，态度比结果更重要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与上级沟通的技巧——给“选择题”而非“问答题”</w:t>
      </w:r>
    </w:p>
    <w:p>
      <w:pPr>
        <w:keepNext w:val="0"/>
        <w:keepLines w:val="0"/>
        <w:pageBreakBefore w:val="0"/>
        <w:numPr>
          <w:ilvl w:val="0"/>
          <w:numId w:val="7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向下沟通中理解与鼓励“为先”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望-观察近期状态与肢体语言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闻-有效倾听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问-好的问题，找到好的答案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切-找事实，而非观点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bCs/>
        </w:rPr>
      </w:pPr>
      <w:r>
        <w:rPr>
          <w:rFonts w:hint="default" w:ascii="Times New Roman" w:hAnsi="Times New Roman" w:eastAsia="微软雅黑" w:cs="Times New Roman"/>
          <w:b/>
          <w:bCs/>
        </w:rPr>
        <w:t>实战练习——绩效面谈沟通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220" w:hanging="220" w:firstLineChars="0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跨部门沟通与对外沟通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跨部门沟通的视角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职能角度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从渠道角度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从编码角度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从解码角度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同级间的沟通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大目标统一，小目标快跑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部门内合作的三大障碍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bCs/>
        </w:rPr>
      </w:pPr>
      <w:r>
        <w:rPr>
          <w:rFonts w:hint="default" w:ascii="Times New Roman" w:hAnsi="Times New Roman" w:eastAsia="微软雅黑" w:cs="Times New Roman"/>
          <w:b/>
          <w:bCs/>
        </w:rPr>
        <w:t>互动活动——收获季节</w:t>
      </w:r>
    </w:p>
    <w:p>
      <w:pPr>
        <w:keepNext w:val="0"/>
        <w:keepLines w:val="0"/>
        <w:pageBreakBefore w:val="0"/>
        <w:numPr>
          <w:ilvl w:val="0"/>
          <w:numId w:val="8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对外沟通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理清思路，有力表达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bidi w:val="0"/>
        <w:snapToGrid/>
        <w:spacing w:line="480" w:lineRule="exact"/>
        <w:ind w:firstLine="0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正面积极，规避风险</w:t>
      </w:r>
    </w:p>
    <w:p>
      <w:pPr>
        <w:pStyle w:val="8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bidi w:val="0"/>
        <w:snapToGrid/>
        <w:spacing w:line="480" w:lineRule="exact"/>
        <w:ind w:left="220" w:hanging="220" w:firstLineChars="0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实战与体验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沟通沙盘小体验</w:t>
      </w:r>
    </w:p>
    <w:p>
      <w:pPr>
        <w:keepNext w:val="0"/>
        <w:keepLines w:val="0"/>
        <w:pageBreakBefore w:val="0"/>
        <w:numPr>
          <w:ilvl w:val="0"/>
          <w:numId w:val="9"/>
        </w:numPr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</w:rPr>
      </w:pPr>
      <w:r>
        <w:rPr>
          <w:rFonts w:hint="default" w:ascii="Times New Roman" w:hAnsi="Times New Roman" w:eastAsia="微软雅黑" w:cs="Times New Roman"/>
        </w:rPr>
        <w:t>穿越雷区三级沟通障碍体验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bCs/>
        </w:rPr>
      </w:pPr>
      <w:r>
        <w:rPr>
          <w:rFonts w:hint="default" w:ascii="Times New Roman" w:hAnsi="Times New Roman" w:eastAsia="微软雅黑" w:cs="Times New Roman"/>
          <w:b/>
          <w:bCs/>
        </w:rPr>
        <w:t>互动体验：二选一，进行充分的沟通实践与体验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default" w:ascii="Times New Roman" w:hAnsi="Times New Roman" w:eastAsia="微软雅黑" w:cs="Times New Roman"/>
          <w:b/>
          <w:szCs w:val="21"/>
        </w:rPr>
      </w:pPr>
      <w:r>
        <w:rPr>
          <w:rFonts w:hint="default" w:ascii="Times New Roman" w:hAnsi="Times New Roman" w:eastAsia="微软雅黑" w:cs="Times New Roman"/>
          <w:b/>
          <w:color w:val="C00000"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讲师介绍：</w:t>
      </w:r>
      <w:r>
        <w:rPr>
          <w:rFonts w:hint="default" w:ascii="Times New Roman" w:hAnsi="Times New Roman" w:eastAsia="微软雅黑" w:cs="Times New Roman"/>
          <w:b/>
          <w:iCs/>
          <w:sz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高老师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高老师有15年培训及咨询经验，曾任职多家世界500强企业。现作为风险投资人，投资多家不同领域企业（人工智能、软件开发、培训咨询等）并担任主管市场销售及人力资源工作的高管。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szCs w:val="21"/>
        </w:rPr>
      </w:pPr>
      <w:r>
        <w:rPr>
          <w:rFonts w:hint="default" w:ascii="Times New Roman" w:hAnsi="Times New Roman" w:eastAsia="微软雅黑" w:cs="Times New Roman"/>
          <w:szCs w:val="21"/>
        </w:rPr>
        <w:t>高老师在业内首次提出以“围绕办公桌”为理念，以这种形式为企业中高层培训。并且用教练指导思想，使理论结合实际，使整个培训充分落地。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主打课程：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领导力课程：团队领导力沙盘模拟课程、领导力进阶课程、教练式领导力课程；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中基层管理能力提升课程：管理工具大集训课程、新任管理者课程、目标与时间管理课程；</w:t>
      </w:r>
    </w:p>
    <w:p>
      <w:pPr>
        <w:keepNext w:val="0"/>
        <w:keepLines w:val="0"/>
        <w:pageBreakBefore w:val="0"/>
        <w:numPr>
          <w:ilvl w:val="0"/>
          <w:numId w:val="10"/>
        </w:numPr>
        <w:kinsoku/>
        <w:wordWrap/>
        <w:overflowPunct/>
        <w:topLinePunct w:val="0"/>
        <w:bidi w:val="0"/>
        <w:snapToGrid/>
        <w:spacing w:line="480" w:lineRule="exact"/>
        <w:ind w:left="420" w:leftChars="0" w:hanging="420" w:firstLineChars="0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软技能提升课程：系统性问题分析与解决课程、非人力资源经理的人力资源管理课程；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/>
          <w:bCs/>
          <w:szCs w:val="21"/>
        </w:rPr>
      </w:pPr>
      <w:r>
        <w:rPr>
          <w:rFonts w:hint="default" w:ascii="Times New Roman" w:hAnsi="Times New Roman" w:eastAsia="微软雅黑" w:cs="Times New Roman"/>
          <w:b/>
          <w:bCs/>
          <w:szCs w:val="21"/>
        </w:rPr>
        <w:t>曾服务企业或机构（部分）：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建筑、房地产：万科地产，龙湖地产，AAI建筑设计，古北集团，九龙仓地产，中建一局，碧桂园，保利集团，华润置地，绿城集团，宝龙集团、星河地产等；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IT、互联网：阿里巴巴，华为，腾讯，百度，搜狐，TCL，爱立信，联创科技，搜狗等；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银行、保险和金融：深圳发展银行，招商银行，中国银行，平安保险，大地财产保险，南方基金，三井财险，太平洋保险，兴业银行等；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能源化工：中化集团，BP，中广核、中国石化，天赐化工，广汇实业，山东东明化工，新奥集团等；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快速消费品：联合利华，阿迪达斯，耐克，百威啤酒，贝德玛，晨光文具，达能，箭牌等；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医药、医疗器械：国药集团，艾斯康利，拜耳，西门子医疗，凯西只要，先声药业等；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服务业：波士顿，东方航空，上海外服，华住，锦江集团，励展博览，上海电气租赁，携程旅行等；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hint="default" w:ascii="Times New Roman" w:hAnsi="Times New Roman" w:eastAsia="微软雅黑" w:cs="Times New Roman"/>
          <w:bCs/>
          <w:szCs w:val="21"/>
          <w:lang w:eastAsia="zh-CN"/>
        </w:rPr>
      </w:pPr>
      <w:r>
        <w:rPr>
          <w:rFonts w:hint="default" w:ascii="Times New Roman" w:hAnsi="Times New Roman" w:eastAsia="微软雅黑" w:cs="Times New Roman"/>
          <w:bCs/>
          <w:szCs w:val="21"/>
        </w:rPr>
        <w:t>汽车、制造业：奥迪，福特，正泰电器、上汽集团，延锋，倍耐力，固特异，艾德玛，贝尔卡特，海斯特-耶鲁集团，曼恩，ABB等</w:t>
      </w:r>
      <w:r>
        <w:rPr>
          <w:rFonts w:hint="default" w:ascii="Times New Roman" w:hAnsi="Times New Roman" w:eastAsia="微软雅黑" w:cs="Times New Roman"/>
          <w:bCs/>
          <w:szCs w:val="21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exact"/>
        <w:ind w:left="155" w:hanging="155" w:hangingChars="74"/>
        <w:jc w:val="left"/>
        <w:textAlignment w:val="auto"/>
        <w:rPr>
          <w:rFonts w:hint="default" w:ascii="Times New Roman" w:hAnsi="Times New Roman" w:eastAsia="微软雅黑" w:cs="Times New Roman"/>
          <w:color w:val="C00000"/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5" name="文本框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5PuKjdAgAAJgYAAA4AAABkcnMvZTJvRG9jLnhtbK1US27bMBDdF+gd&#10;CO4VSY7s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3k+4qN0CAAAm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86801C"/>
    <w:multiLevelType w:val="singleLevel"/>
    <w:tmpl w:val="9386801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A04934B6"/>
    <w:multiLevelType w:val="singleLevel"/>
    <w:tmpl w:val="A04934B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A422BF5"/>
    <w:multiLevelType w:val="singleLevel"/>
    <w:tmpl w:val="EA422BF5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0A68F202"/>
    <w:multiLevelType w:val="singleLevel"/>
    <w:tmpl w:val="0A68F20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4">
    <w:nsid w:val="142A71F3"/>
    <w:multiLevelType w:val="singleLevel"/>
    <w:tmpl w:val="142A71F3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38195869"/>
    <w:multiLevelType w:val="multilevel"/>
    <w:tmpl w:val="38195869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FED62EE"/>
    <w:multiLevelType w:val="singleLevel"/>
    <w:tmpl w:val="4FED62EE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7">
    <w:nsid w:val="5082B23B"/>
    <w:multiLevelType w:val="singleLevel"/>
    <w:tmpl w:val="5082B23B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8">
    <w:nsid w:val="55626ACB"/>
    <w:multiLevelType w:val="multilevel"/>
    <w:tmpl w:val="55626ACB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9">
    <w:nsid w:val="5ABFEA27"/>
    <w:multiLevelType w:val="singleLevel"/>
    <w:tmpl w:val="5ABFEA2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25C5D"/>
    <w:rsid w:val="2822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  <w:style w:type="paragraph" w:customStyle="1" w:styleId="7">
    <w:name w:val="正文 A"/>
    <w:uiPriority w:val="0"/>
    <w:pPr>
      <w:spacing w:after="200" w:line="276" w:lineRule="auto"/>
    </w:pPr>
    <w:rPr>
      <w:rFonts w:ascii="Calibri" w:hAnsi="Calibri" w:eastAsia="Calibri" w:cs="Calibri"/>
      <w:color w:val="000000"/>
      <w:sz w:val="22"/>
      <w:szCs w:val="22"/>
      <w:lang w:val="zh-TW" w:eastAsia="zh-TW" w:bidi="ar-SA"/>
    </w:rPr>
  </w:style>
  <w:style w:type="paragraph" w:customStyle="1" w:styleId="8">
    <w:name w:val="List Paragraph"/>
    <w:basedOn w:val="1"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2021-11-19T10:01:00Z</dcterms:created>
  <dc:creator>强思企管婷婷（渠道报单）</dc:creator>
  <cp:lastModifiedBy>强思企管婷婷（渠道报单）</cp:lastModifiedBy>
  <dcterms:modified xsi:type="dcterms:W3CDTF">2021-11-19T10:02:14Z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4F191796776A49DE9A86A9C6F7AC53BF</vt:lpwstr>
  </property>
</Properties>
</file>