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超越客户期望的服务技巧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bookmarkStart w:id="0" w:name="_GoBack"/>
      <w:r>
        <w:rPr>
          <w:rFonts w:hint="eastAsia" w:eastAsia="微软雅黑"/>
          <w:b/>
          <w:szCs w:val="21"/>
        </w:rPr>
        <w:t>6月</w:t>
      </w:r>
      <w:r>
        <w:rPr>
          <w:rFonts w:hint="eastAsia" w:eastAsia="微软雅黑"/>
          <w:b/>
          <w:szCs w:val="21"/>
          <w:lang w:val="en-US" w:eastAsia="zh-CN"/>
        </w:rPr>
        <w:t>27~28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一</w:t>
      </w:r>
      <w:r>
        <w:rPr>
          <w:rFonts w:hint="eastAsia" w:eastAsia="微软雅黑"/>
          <w:b/>
          <w:szCs w:val="21"/>
          <w:lang w:val="en-US" w:eastAsia="zh-CN"/>
        </w:rPr>
        <w:t xml:space="preserve"> ~ 星期二</w:t>
      </w:r>
      <w:r>
        <w:rPr>
          <w:rFonts w:hint="eastAsia" w:eastAsia="微软雅黑"/>
          <w:b/>
          <w:szCs w:val="21"/>
        </w:rPr>
        <w:t>）/上 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35</w:t>
      </w:r>
      <w:r>
        <w:rPr>
          <w:rFonts w:eastAsia="微软雅黑"/>
          <w:b/>
          <w:szCs w:val="21"/>
        </w:rPr>
        <w:t>00/人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zh-TW"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val="zh-TW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zh-TW"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val="zh-TW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420" w:firstLineChars="200"/>
        <w:textAlignment w:val="auto"/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</w:pPr>
      <w:r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  <w:t>服务质量管理大师波拉苏拉曼研究发现，客户体验决定着户满意度的高低。而客户的体验既有来自于公司的产品服务影响，又有来自于客户所接触到的一线人员（包括销售与服务）影响，因此一线员工沟通服务能力的高低就决定了客户体验的优劣。本课程一方面从一线员工的沟通服务能力入手，提供方法与工具予以提升；另一个方面则从制度流程入手，通过</w:t>
      </w:r>
      <w:r>
        <w:rPr>
          <w:rFonts w:hint="default" w:ascii="Times New Roman" w:hAnsi="Times New Roman" w:eastAsia="微软雅黑" w:cs="Times New Roman"/>
          <w:color w:val="000000"/>
          <w:szCs w:val="22"/>
          <w:lang w:val="zh-TW" w:eastAsia="zh-CN"/>
        </w:rPr>
        <w:t>w</w:t>
      </w:r>
      <w:r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  <w:t>orkshop来对现有制度流程进行优化。课程内容与形式有两大特点：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</w:pPr>
      <w:r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  <w:t>一、实用接地气：一学就会的技巧与方法，课后即可运用于工作与生活中。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</w:pPr>
      <w:r>
        <w:rPr>
          <w:rFonts w:hint="default" w:ascii="Times New Roman" w:hAnsi="Times New Roman" w:eastAsia="微软雅黑" w:cs="Times New Roman"/>
          <w:color w:val="000000"/>
          <w:szCs w:val="22"/>
          <w:lang w:val="zh-TW" w:eastAsia="zh-TW"/>
        </w:rPr>
        <w:t>二、寓教于乐：通过理论讲解、小组互动、角色扮演和等多种学习形式，在轻松、愉悦的环境中快乐学习并全面提升技能。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zh-TW"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val="zh-TW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zh-TW"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val="zh-TW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微软雅黑" w:cs="Times New Roman"/>
          <w:szCs w:val="22"/>
          <w:lang w:val="zh-TW" w:eastAsia="zh-TW"/>
        </w:rPr>
      </w:pPr>
      <w:r>
        <w:rPr>
          <w:rFonts w:hint="default" w:ascii="Times New Roman" w:hAnsi="Times New Roman" w:eastAsia="微软雅黑" w:cs="Times New Roman"/>
          <w:szCs w:val="22"/>
          <w:lang w:val="zh-TW" w:eastAsia="zh-TW"/>
        </w:rPr>
        <w:t>认识情商，让客服人员学会觉察自己的情绪，当情绪出现时，能够当下有效调整，成为情绪的主人，创造内心的和谐，用积极乐观的精神面貌面对客户，提升服务形象。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微软雅黑" w:cs="Times New Roman"/>
          <w:szCs w:val="22"/>
          <w:lang w:val="zh-TW" w:eastAsia="zh-TW"/>
        </w:rPr>
      </w:pPr>
      <w:r>
        <w:rPr>
          <w:rFonts w:hint="default" w:ascii="Times New Roman" w:hAnsi="Times New Roman" w:eastAsia="微软雅黑" w:cs="Times New Roman"/>
          <w:szCs w:val="22"/>
          <w:lang w:val="zh-TW" w:eastAsia="zh-TW"/>
        </w:rPr>
        <w:t>了解客户服务周期，运用流程化的方式来管理服务过程，提升服务水平。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8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微软雅黑" w:cs="Times New Roman"/>
          <w:szCs w:val="22"/>
          <w:lang w:val="zh-TW" w:eastAsia="zh-TW"/>
        </w:rPr>
      </w:pPr>
      <w:r>
        <w:rPr>
          <w:rFonts w:hint="default" w:ascii="Times New Roman" w:hAnsi="Times New Roman" w:eastAsia="微软雅黑" w:cs="Times New Roman"/>
          <w:szCs w:val="22"/>
          <w:lang w:val="zh-TW" w:eastAsia="zh-TW"/>
        </w:rPr>
        <w:t>学习新的沟通方式，用同理心倾听与表达与客户沟通，妥善处理客户关系，化解矛盾冲突，提高服务体验。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420" w:firstLineChars="200"/>
        <w:textAlignment w:val="auto"/>
        <w:rPr>
          <w:rFonts w:hint="eastAsia" w:eastAsia="微软雅黑"/>
          <w:szCs w:val="21"/>
          <w:lang w:eastAsia="zh-CN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TW"/>
        </w:rPr>
        <w:t>第一部分</w:t>
      </w: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  <w:t xml:space="preserve"> 认识客户服务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活动：客户肖像画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典型的客户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我喜欢接待的客户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我不愿接待的客户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客户服务的真相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客户服务体验的“利他”标准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准确可靠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能力保障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硬件形象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个性关怀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主动响应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TW"/>
        </w:rPr>
        <w:t>第二部分</w:t>
      </w: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  <w:t xml:space="preserve"> 客服人员的情绪管理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认识情商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站队活动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咖啡故事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工具：A</w:t>
      </w: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STAR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管理自己的期望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  <w:t>第三部分 客户服务能力提升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倾听能力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倾听的障碍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倾听的层次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3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  <w:t>F倾听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提问能力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提问的作用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开放式问题与封闭式问题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需求澄清的“2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  <w:t>W2H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”提问技能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表达能力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表达原则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480" w:lineRule="exact"/>
        <w:ind w:left="840"/>
        <w:textAlignment w:val="auto"/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  <w:t>友好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480" w:lineRule="exact"/>
        <w:ind w:left="840"/>
        <w:textAlignment w:val="auto"/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  <w:t>积极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480" w:lineRule="exact"/>
        <w:ind w:left="840"/>
        <w:textAlignment w:val="auto"/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  <w:t>协助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陈述技巧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480" w:lineRule="exact"/>
        <w:ind w:left="840"/>
        <w:textAlignment w:val="auto"/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  <w:t>相关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480" w:lineRule="exact"/>
        <w:ind w:left="840"/>
        <w:textAlignment w:val="auto"/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  <w:t>简单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480" w:lineRule="exact"/>
        <w:ind w:left="840"/>
        <w:textAlignment w:val="auto"/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  <w:lang w:val="zh-TW" w:eastAsia="zh-CN"/>
        </w:rPr>
        <w:t>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  <w:t>第四部分 客户服务体验周期管理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接触客户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了解需求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达成协议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跟进结果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TW"/>
        </w:rPr>
        <w:t>第五部分</w:t>
      </w:r>
      <w:r>
        <w:rPr>
          <w:rFonts w:hint="default" w:ascii="Times New Roman" w:hAnsi="Times New Roman" w:eastAsia="微软雅黑" w:cs="Times New Roman"/>
          <w:b/>
          <w:bCs/>
          <w:color w:val="auto"/>
          <w:kern w:val="2"/>
          <w:sz w:val="21"/>
          <w:szCs w:val="21"/>
          <w:lang w:val="zh-TW" w:eastAsia="zh-CN"/>
        </w:rPr>
        <w:t xml:space="preserve"> 客户服务体验优化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服务的关键时刻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K</w:t>
      </w: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ISS原则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K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  <w:t>EEP保持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I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  <w:t>MPROVE优化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S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  <w:t>TOP停止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5" w:hanging="155" w:hangingChars="74"/>
        <w:textAlignment w:val="auto"/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CN"/>
        </w:rPr>
        <w:t>S</w:t>
      </w:r>
      <w:r>
        <w:rPr>
          <w:rFonts w:hint="default" w:ascii="Times New Roman" w:hAnsi="Times New Roman" w:eastAsia="微软雅黑" w:cs="Times New Roman"/>
          <w:bCs/>
          <w:color w:val="auto"/>
          <w:kern w:val="2"/>
          <w:sz w:val="21"/>
          <w:szCs w:val="21"/>
          <w:lang w:val="zh-TW" w:eastAsia="zh-TW"/>
        </w:rPr>
        <w:t>TART开始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</w:pP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活动</w:t>
      </w: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CN"/>
        </w:rPr>
        <w:t>:</w:t>
      </w:r>
      <w:r>
        <w:rPr>
          <w:rFonts w:hint="default" w:ascii="Times New Roman" w:hAnsi="Times New Roman" w:eastAsia="微软雅黑" w:cs="Times New Roman"/>
          <w:b w:val="0"/>
          <w:bCs/>
          <w:kern w:val="0"/>
          <w:szCs w:val="21"/>
          <w:lang w:val="zh-TW" w:eastAsia="zh-TW"/>
        </w:rPr>
        <w:t>KISS你的服务体验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 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资历背景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contextualSpacing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IPTS认证讲师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contextualSpacing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DISC认证讲师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contextualSpacing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 xml:space="preserve">国资TOP3寿险公司金牌讲师，大区经理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contextualSpacing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美国财富500强公司高级讲师、客户总监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世界500强零售公司中国区高级培训经理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实战型销售教练，多次帮助客户实现了业绩的翻倍增长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绩效咨询专家，为诸多世界500强企业提供业务诊断、绩效项目咨询和落地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20" w:leftChars="0" w:hanging="420" w:firstLineChars="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全国培联推优赛40强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高老师有着深厚的业务背景和丰富的培训经验，为客户提供专业培训咨询服务，涉及的领域包括销售绩效提升，服务能力提升，管理及领导力，团队建设等诸多企业的绩效提升主题，由他独立或者参与设计和实施的项目，均取得了客户端的高度评价和绩效结果的显著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在成为培训咨询顾问前，高老师已经拥有近15年的工作经验，既服务过世界500强企业，比如亚胜（中国）、麦德龙旗下的万得城（中国）等，也服务过国内上市企业，比如新华人寿、洋河酒厂等。既有作为大客户经理，开展客户开发和大客户管理工作的丰富经历，也有作为培训经理，开展人才培训的工作。在业务开发与销售、大客户管理、谈判技巧、项目管理、客户服务、资源整合和流程优化、人力资源培训以及团队建设与管理等方面具备丰富的实战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在亚胜集团（中国）工作期间，高老师是将电器延保的概念引入中国的主要团队成员之一，参与了延保产品在中国市场的本土化和标准化。同时，作为资深讲师和大客户经理，高老师带团队推动项目在客户端实现了快速普及和发展，一方面，他与团队对客户实施了全方位的培训，包括项目管理培训、销售技巧培训等，确保了客户对于延保项目的全方位理解，并有效地传达给到消费者，另一方面，他给客户提供了管理与流程方面的咨询服务，优化了其营运流程和效率。他所管理过的客户包括国美电器、沃尔玛、京东、百安居、康佳集团等，在此期间，他曾多次成功实现了客户销售业绩的翻倍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在麦德龙集团旗下电器公司（万得城）工作期间，高老师结合其丰富的销售实战与咨询经验，协助公司建立了销售终端的培训体系，包括零售营运各个职位的能力模型和内容建设，同时为销售端的流程优化提供咨询和建议，参与了销售、服务等相关课程的组织和实施，为门店在中国的复制与扩张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主讲课程</w:t>
      </w: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销售类：《顾问式销售技巧》、《大客户开发与维护》、《专业零售技巧》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沟通类：《影响力沟通技巧》、《360度职场沟通》、《专业培训师培训》、《高效演讲技巧》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color w:val="000000"/>
          <w:kern w:val="0"/>
          <w:szCs w:val="21"/>
        </w:rPr>
      </w:pPr>
      <w:r>
        <w:rPr>
          <w:rFonts w:eastAsia="微软雅黑"/>
          <w:color w:val="000000"/>
          <w:kern w:val="0"/>
          <w:szCs w:val="21"/>
        </w:rPr>
        <w:t>管理类：《中层管理人员领导力提升》、《目标与计划管理》、《高效时间管理》、《高效团队建设》、《高效能人士的七项修炼》、《卓越领导力的五项修炼》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曾服务客户</w:t>
      </w: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通信电子：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中国电信丽水分公司、上海电信、内江移动、三星电子、惠普集团、英特尔、AMD、江苏有线等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零售（酒店）行业：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玩具反斗城（Toysrus）、沃尔玛、山姆会员店、红星美凯龙、百安居、国美、永乐、华润万家、永辉超市、顺电电器、乐购、步步高电器、万得城、卜峰莲花、好又多、安卓娱乐、金陵饭店、苏州香雪海饭店、金堂恒大酒店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制造行业：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蔚来汽车、上汽大众、博世华域、上海电气、中联重科、康佳集团、岛津、海尔、创维、TCL、武汉工贸电器、爱德万、史丹利百得、展宇光伏、晶科电力、博思格钢铁、安博电子（台湾）、芬纳输送带（英国）、禾欣电子（嘉兴）、伟巴斯特、山浦照明、和承汽车配件、赛拉弗（常州）、杜凯软管、宝理工程塑料、创元化妆品、亚杰科技、希艾特意得维（上海）、思维科技（河南）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金融行业：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银联商务、工商银行浙江分公司、工商银行巴中分行、中国银行上海分行、齐商银行、邮储银行浙江分行、招商银行大连分行、兴业银行山西分行、兴业银行总行、农业银行牡丹江分行、农业银行丽水分行、华夏银行济宁分行、交通银行湖北分行、光大银行长沙分行、温州农商行、武汉农商行、晋商银行、昆山农商行、北京农商行、忻州农商行（山西省联社）、厦门国际银行、江西银行苏州分行、商行联盟、新华人寿、太平人寿、太平洋财险浙江分公司、平安普惠浙江分公司、平安财险江西分公司、江苏阜宁农商行、工银安盛人寿浙江分公司、工银安盛人寿上海分公司、大地保险宁波分公司、上海金融期货交易所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物流行业：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远成物流、厦商物流、均志物流、点我达、广西邮储（EMS）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地产行业：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中骏集团、融信集团、美好置业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电子商务：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安客诚（中国）、淘宝、京东、支付宝、斐讯科技、即富科技、投融界等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FMCG: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Adidas、伊利集团、光明集团、爱茉莉太平洋、雅漾、洋河酒厂、联成迅康、碧生源、三生健康等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其他行业：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唯美、民生健康、红十字血站、贝德玛（法国）、紫觉贸易、罗氏诊断、富士影像、Adidas、藤仓橡胶（日本）、迪由控制、融信集团、上海金桥、天津海洋高新区管委会等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授课风格</w:t>
      </w:r>
      <w:r>
        <w:rPr>
          <w:rFonts w:hint="eastAsia" w:eastAsia="微软雅黑"/>
          <w:b/>
          <w:bCs/>
          <w:color w:val="000000"/>
          <w:kern w:val="0"/>
          <w:szCs w:val="21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b/>
          <w:bCs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学员反馈：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“通过本次培训，我学到了很多之前没有用到过的销售工具，很有收获，以后希望再有机会学习高老师的课程。”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righ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>——</w:t>
      </w:r>
      <w:r>
        <w:rPr>
          <w:rFonts w:eastAsia="微软雅黑"/>
          <w:bCs/>
          <w:color w:val="000000"/>
          <w:kern w:val="0"/>
          <w:szCs w:val="21"/>
          <w:lang w:val="zh-CN"/>
        </w:rPr>
        <w:t xml:space="preserve">禾邦电子 </w:t>
      </w:r>
      <w:r>
        <w:rPr>
          <w:rFonts w:eastAsia="微软雅黑"/>
          <w:color w:val="000000"/>
          <w:kern w:val="0"/>
          <w:szCs w:val="21"/>
          <w:lang w:val="zh-CN"/>
        </w:rPr>
        <w:t>《跨部门沟通技巧》 总经理 郭总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“感谢您带来的非常精彩的课程，您授课过程聚焦课程本身，风趣幽默，热情洋溢，认真负责，学员反馈很好，希望有机会多多合作”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contextualSpacing/>
        <w:jc w:val="righ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上汽大众长沙培训中心《高效沟通》 李娜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“高老师的课很实战，对我们酒店有很大的帮助和启发。”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righ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——金堂恒大酒店副总经理 《客户营销技能》 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“高老师的授课技巧和表达能力非常出色，语言生动幽默，充分调动了学员的积极性，让大家自然而然的就融入到课堂气氛中来，畅所欲言。”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righ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b/>
          <w:bCs/>
          <w:color w:val="000000"/>
          <w:kern w:val="0"/>
          <w:szCs w:val="21"/>
          <w:lang w:val="zh-CN"/>
        </w:rPr>
        <w:t xml:space="preserve">—— </w:t>
      </w:r>
      <w:r>
        <w:rPr>
          <w:rFonts w:eastAsia="微软雅黑"/>
          <w:color w:val="000000"/>
          <w:kern w:val="0"/>
          <w:szCs w:val="21"/>
          <w:lang w:val="zh-CN"/>
        </w:rPr>
        <w:t xml:space="preserve">史丹利百得《培训师培训》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eastAsia="微软雅黑"/>
          <w:color w:val="000000"/>
          <w:kern w:val="0"/>
          <w:szCs w:val="21"/>
          <w:lang w:val="zh-CN"/>
        </w:rPr>
      </w:pPr>
      <w:r>
        <w:rPr>
          <w:rFonts w:eastAsia="微软雅黑"/>
          <w:color w:val="000000"/>
          <w:kern w:val="0"/>
          <w:szCs w:val="21"/>
          <w:lang w:val="zh-CN"/>
        </w:rPr>
        <w:t>“非常喜欢Frank老师的授课风格，风趣幽默，课程内容设计严谨、环环相扣，稀饭稀饭”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55" w:hanging="155" w:hangingChars="74"/>
        <w:jc w:val="right"/>
        <w:textAlignment w:val="auto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kern w:val="0"/>
          <w:szCs w:val="21"/>
          <w:lang w:val="zh-CN"/>
        </w:rPr>
        <w:t>——《专业培训师培训》玩具反斗城HR Ruby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“高老师，您的课很实用，希望您再来给我们上课。”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155" w:hanging="155" w:hangingChars="74"/>
        <w:jc w:val="right"/>
        <w:textAlignment w:val="auto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——融信集团杭州分公司《中层管理人员能力提升》 分公司总经理 宋总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“高老师的课程内容深入浅出，工具方法简单易上手，给新任管理者在未来工作中的运用提供了更便捷的方法。同时，高老师授课台风稳健，语言幽默诙谐，培训的学习场域打造能力强，课程的节奏感强！是非常厉害的影响型讲师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left="155" w:hanging="155" w:hangingChars="74"/>
        <w:jc w:val="right"/>
        <w:textAlignment w:val="auto"/>
        <w:rPr>
          <w:rFonts w:eastAsia="微软雅黑"/>
          <w:color w:val="000000"/>
          <w:szCs w:val="21"/>
        </w:rPr>
      </w:pPr>
      <w:r>
        <w:rPr>
          <w:rFonts w:eastAsia="微软雅黑"/>
          <w:color w:val="000000"/>
          <w:szCs w:val="21"/>
        </w:rPr>
        <w:t>——中骏集团世邦泰和物业 总部培训经理 刘寅秋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E6DFE"/>
    <w:multiLevelType w:val="singleLevel"/>
    <w:tmpl w:val="877E6DF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95B43B4"/>
    <w:multiLevelType w:val="singleLevel"/>
    <w:tmpl w:val="D95B43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C0A6C31"/>
    <w:multiLevelType w:val="singleLevel"/>
    <w:tmpl w:val="FC0A6C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A4BDD27"/>
    <w:multiLevelType w:val="singleLevel"/>
    <w:tmpl w:val="0A4BDD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AF02B07"/>
    <w:multiLevelType w:val="multilevel"/>
    <w:tmpl w:val="1AF02B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2F9A95BD"/>
    <w:multiLevelType w:val="singleLevel"/>
    <w:tmpl w:val="2F9A95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A88B902"/>
    <w:multiLevelType w:val="singleLevel"/>
    <w:tmpl w:val="3A88B9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3BB4596C"/>
    <w:multiLevelType w:val="singleLevel"/>
    <w:tmpl w:val="3BB459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422A7835"/>
    <w:multiLevelType w:val="multilevel"/>
    <w:tmpl w:val="422A783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4905175"/>
    <w:multiLevelType w:val="multilevel"/>
    <w:tmpl w:val="5490517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AF37393"/>
    <w:multiLevelType w:val="multilevel"/>
    <w:tmpl w:val="5AF37393"/>
    <w:lvl w:ilvl="0" w:tentative="0">
      <w:start w:val="0"/>
      <w:numFmt w:val="bullet"/>
      <w:lvlText w:val="—"/>
      <w:lvlJc w:val="left"/>
      <w:pPr>
        <w:ind w:left="480" w:hanging="48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5B2A871B"/>
    <w:multiLevelType w:val="singleLevel"/>
    <w:tmpl w:val="5B2A87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376A1"/>
    <w:rsid w:val="452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2021-11-29T23:09:00Z</dcterms:created>
  <dc:creator>强思企管婷婷（渠道报单）</dc:creator>
  <cp:lastModifiedBy>强思企管婷婷（渠道报单）</cp:lastModifiedBy>
  <dcterms:modified xsi:type="dcterms:W3CDTF">2021-11-29T23:11:32Z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A4AF31391CD34752A99BA191304E45FD</vt:lpwstr>
  </property>
</Properties>
</file>