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微软雅黑" w:cs="Times New Roman"/>
          <w:b/>
          <w:color w:val="0000FF"/>
          <w:sz w:val="44"/>
        </w:rPr>
      </w:pPr>
      <w:bookmarkStart w:id="0" w:name="_GoBack"/>
      <w:r>
        <w:rPr>
          <w:rFonts w:hint="default" w:ascii="Times New Roman" w:hAnsi="Times New Roman" w:eastAsia="微软雅黑" w:cs="Times New Roman"/>
          <w:b/>
          <w:color w:val="0000FF"/>
          <w:sz w:val="44"/>
        </w:rPr>
        <w:t>MFMEA-设备失效模式与影响分析</w:t>
      </w:r>
    </w:p>
    <w:bookmarkEnd w:id="0"/>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培训时间/地点：</w:t>
      </w:r>
      <w:r>
        <w:rPr>
          <w:rFonts w:hint="default" w:ascii="Times New Roman" w:hAnsi="Times New Roman" w:eastAsia="微软雅黑" w:cs="Times New Roman"/>
          <w:b/>
          <w:color w:val="000000"/>
          <w:szCs w:val="21"/>
        </w:rPr>
        <w:t>202</w:t>
      </w:r>
      <w:r>
        <w:rPr>
          <w:rFonts w:hint="default" w:ascii="Times New Roman" w:hAnsi="Times New Roman" w:eastAsia="微软雅黑" w:cs="Times New Roman"/>
          <w:b/>
          <w:color w:val="000000"/>
          <w:szCs w:val="21"/>
          <w:lang w:val="en-US" w:eastAsia="zh-CN"/>
        </w:rPr>
        <w:t>2</w:t>
      </w:r>
      <w:r>
        <w:rPr>
          <w:rFonts w:hint="default" w:ascii="Times New Roman" w:hAnsi="Times New Roman" w:eastAsia="微软雅黑" w:cs="Times New Roman"/>
          <w:b/>
          <w:color w:val="000000"/>
          <w:szCs w:val="21"/>
        </w:rPr>
        <w:t>年</w:t>
      </w:r>
      <w:r>
        <w:rPr>
          <w:rFonts w:hint="default" w:ascii="Times New Roman" w:hAnsi="Times New Roman" w:eastAsia="微软雅黑" w:cs="Times New Roman"/>
          <w:b/>
          <w:color w:val="000000"/>
          <w:szCs w:val="21"/>
          <w:lang w:val="en-US" w:eastAsia="zh-CN"/>
        </w:rPr>
        <w:t>7</w:t>
      </w:r>
      <w:r>
        <w:rPr>
          <w:rFonts w:hint="default" w:ascii="Times New Roman" w:hAnsi="Times New Roman" w:eastAsia="微软雅黑" w:cs="Times New Roman"/>
          <w:b/>
          <w:color w:val="000000"/>
          <w:szCs w:val="21"/>
        </w:rPr>
        <w:t>月</w:t>
      </w:r>
      <w:r>
        <w:rPr>
          <w:rFonts w:hint="default" w:ascii="Times New Roman" w:hAnsi="Times New Roman" w:eastAsia="微软雅黑" w:cs="Times New Roman"/>
          <w:b/>
          <w:color w:val="000000"/>
          <w:szCs w:val="21"/>
          <w:lang w:val="en-US" w:eastAsia="zh-CN"/>
        </w:rPr>
        <w:t>29~30</w:t>
      </w:r>
      <w:r>
        <w:rPr>
          <w:rFonts w:hint="default" w:ascii="Times New Roman" w:hAnsi="Times New Roman" w:eastAsia="微软雅黑" w:cs="Times New Roman"/>
          <w:b/>
          <w:color w:val="000000"/>
          <w:szCs w:val="21"/>
        </w:rPr>
        <w:t>日（星期五~星期六）/上 海</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收费标准：</w:t>
      </w:r>
      <w:r>
        <w:rPr>
          <w:rFonts w:hint="default" w:ascii="Times New Roman" w:hAnsi="Times New Roman" w:eastAsia="微软雅黑" w:cs="Times New Roman"/>
          <w:b/>
          <w:szCs w:val="21"/>
        </w:rPr>
        <w:t>￥3</w:t>
      </w:r>
      <w:r>
        <w:rPr>
          <w:rFonts w:hint="default" w:ascii="Times New Roman" w:hAnsi="Times New Roman" w:eastAsia="微软雅黑" w:cs="Times New Roman"/>
          <w:b/>
          <w:szCs w:val="21"/>
          <w:lang w:val="en-US" w:eastAsia="zh-CN"/>
        </w:rPr>
        <w:t>8</w:t>
      </w:r>
      <w:r>
        <w:rPr>
          <w:rFonts w:hint="default" w:ascii="Times New Roman" w:hAnsi="Times New Roman" w:eastAsia="微软雅黑" w:cs="Times New Roman"/>
          <w:b/>
          <w:szCs w:val="21"/>
        </w:rPr>
        <w:t>00/人</w:t>
      </w:r>
    </w:p>
    <w:p>
      <w:pPr>
        <w:keepNext w:val="0"/>
        <w:keepLines w:val="0"/>
        <w:pageBreakBefore w:val="0"/>
        <w:numPr>
          <w:ilvl w:val="0"/>
          <w:numId w:val="1"/>
        </w:numPr>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rPr>
      </w:pPr>
      <w:r>
        <w:rPr>
          <w:rFonts w:hint="default" w:ascii="Times New Roman" w:hAnsi="Times New Roman" w:eastAsia="微软雅黑" w:cs="Times New Roman"/>
        </w:rPr>
        <w:t>含授课费、证书费、资料费、午餐费、茶点费、会务费、税费</w:t>
      </w:r>
    </w:p>
    <w:p>
      <w:pPr>
        <w:keepNext w:val="0"/>
        <w:keepLines w:val="0"/>
        <w:pageBreakBefore w:val="0"/>
        <w:numPr>
          <w:ilvl w:val="0"/>
          <w:numId w:val="1"/>
        </w:numPr>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rPr>
      </w:pPr>
      <w:r>
        <w:rPr>
          <w:rFonts w:hint="default" w:ascii="Times New Roman" w:hAnsi="Times New Roman" w:eastAsia="微软雅黑" w:cs="Times New Roman"/>
        </w:rPr>
        <w:t>不包含学员往返培训场地的交通费用、住宿费用，早餐及晚餐 </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课程背景：</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default" w:ascii="Times New Roman" w:hAnsi="Times New Roman" w:eastAsia="微软雅黑" w:cs="Times New Roman"/>
          <w:color w:val="000000"/>
          <w:kern w:val="0"/>
          <w:szCs w:val="18"/>
        </w:rPr>
      </w:pPr>
      <w:r>
        <w:rPr>
          <w:rFonts w:hint="default" w:ascii="Times New Roman" w:hAnsi="Times New Roman" w:eastAsia="微软雅黑" w:cs="Times New Roman"/>
          <w:color w:val="000000"/>
          <w:kern w:val="0"/>
          <w:szCs w:val="18"/>
        </w:rPr>
        <w:t>制造型企业生产高度依赖设备，传统的以修理为主的设备管理方式，带来生产的停顿和不良品发生的浪费，成了企业急需解决的问题。如何确保和提高设备的可靠性，如何对设备的故障进行提前预防，以可靠性为中心的设备维修管理是很多优秀企业都在采用的科学方法。</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课程收益：</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default" w:ascii="Times New Roman" w:hAnsi="Times New Roman" w:eastAsia="微软雅黑" w:cs="Times New Roman"/>
          <w:color w:val="000000"/>
          <w:kern w:val="0"/>
          <w:szCs w:val="18"/>
        </w:rPr>
      </w:pPr>
      <w:r>
        <w:rPr>
          <w:rFonts w:hint="default" w:ascii="Times New Roman" w:hAnsi="Times New Roman" w:eastAsia="微软雅黑" w:cs="Times New Roman"/>
          <w:color w:val="000000"/>
          <w:kern w:val="0"/>
          <w:szCs w:val="18"/>
        </w:rPr>
        <w:t>了解设备维修的两大策略及其发展历史，掌握设备故障模式及影响分析MFMEA的制作方法，通过5WHY、PM分析、设备点检等工具实现设备故障风险的预测和预防，运用MFMEA活动建立和优化企业的维修保养体系，提升产品质量、降低降低维修成本。</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参训对象：</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hint="default" w:ascii="Times New Roman" w:hAnsi="Times New Roman" w:eastAsia="微软雅黑" w:cs="Times New Roman"/>
          <w:color w:val="000000"/>
          <w:kern w:val="0"/>
          <w:szCs w:val="18"/>
        </w:rPr>
      </w:pPr>
      <w:r>
        <w:rPr>
          <w:rFonts w:hint="default" w:ascii="Times New Roman" w:hAnsi="Times New Roman" w:eastAsia="微软雅黑" w:cs="Times New Roman"/>
          <w:color w:val="000000"/>
          <w:kern w:val="0"/>
          <w:szCs w:val="18"/>
        </w:rPr>
        <w:t>设备工程师、设备维修人员、工艺工程师、质量管理人员、安全管理人员、设备操作人员、生产管理者等</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授课形式：</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知识讲解、案例分析讨论、角色演练、小组讨论、互动交流、游戏感悟、头脑风暴、强调学员参与。</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课程大纲：</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rPr>
        <w:t>第一章  设备维修策略的选择</w:t>
      </w:r>
    </w:p>
    <w:p>
      <w:pPr>
        <w:keepNext w:val="0"/>
        <w:keepLines w:val="0"/>
        <w:pageBreakBefore w:val="0"/>
        <w:numPr>
          <w:ilvl w:val="0"/>
          <w:numId w:val="2"/>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制造型企业设备维修管理的痛点</w:t>
      </w:r>
    </w:p>
    <w:p>
      <w:pPr>
        <w:keepNext w:val="0"/>
        <w:keepLines w:val="0"/>
        <w:pageBreakBefore w:val="0"/>
        <w:numPr>
          <w:ilvl w:val="0"/>
          <w:numId w:val="3"/>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制造型企业设备维修管理的痛点</w:t>
      </w:r>
    </w:p>
    <w:p>
      <w:pPr>
        <w:keepNext w:val="0"/>
        <w:keepLines w:val="0"/>
        <w:pageBreakBefore w:val="0"/>
        <w:numPr>
          <w:ilvl w:val="0"/>
          <w:numId w:val="3"/>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传统设备管理模式的局限性</w:t>
      </w:r>
    </w:p>
    <w:p>
      <w:pPr>
        <w:keepNext w:val="0"/>
        <w:keepLines w:val="0"/>
        <w:pageBreakBefore w:val="0"/>
        <w:numPr>
          <w:ilvl w:val="0"/>
          <w:numId w:val="2"/>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设备维修管理的发展历程</w:t>
      </w:r>
    </w:p>
    <w:p>
      <w:pPr>
        <w:keepNext w:val="0"/>
        <w:keepLines w:val="0"/>
        <w:pageBreakBefore w:val="0"/>
        <w:numPr>
          <w:ilvl w:val="0"/>
          <w:numId w:val="4"/>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设备维修管理的发展历程</w:t>
      </w:r>
    </w:p>
    <w:p>
      <w:pPr>
        <w:keepNext w:val="0"/>
        <w:keepLines w:val="0"/>
        <w:pageBreakBefore w:val="0"/>
        <w:numPr>
          <w:ilvl w:val="0"/>
          <w:numId w:val="4"/>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企业对设备的维修成本的关注</w:t>
      </w:r>
    </w:p>
    <w:p>
      <w:pPr>
        <w:keepNext w:val="0"/>
        <w:keepLines w:val="0"/>
        <w:pageBreakBefore w:val="0"/>
        <w:numPr>
          <w:ilvl w:val="0"/>
          <w:numId w:val="4"/>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设备维修管理的发展方向（RCM\FMEA\TPM）</w:t>
      </w:r>
    </w:p>
    <w:p>
      <w:pPr>
        <w:keepNext w:val="0"/>
        <w:keepLines w:val="0"/>
        <w:pageBreakBefore w:val="0"/>
        <w:numPr>
          <w:ilvl w:val="0"/>
          <w:numId w:val="4"/>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设备维修管理策略的选择</w:t>
      </w:r>
    </w:p>
    <w:p>
      <w:pPr>
        <w:keepNext w:val="0"/>
        <w:keepLines w:val="0"/>
        <w:pageBreakBefore w:val="0"/>
        <w:numPr>
          <w:ilvl w:val="0"/>
          <w:numId w:val="2"/>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TPM全员维修管理简介</w:t>
      </w:r>
    </w:p>
    <w:p>
      <w:pPr>
        <w:keepNext w:val="0"/>
        <w:keepLines w:val="0"/>
        <w:pageBreakBefore w:val="0"/>
        <w:numPr>
          <w:ilvl w:val="0"/>
          <w:numId w:val="5"/>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TPM的诞生和发展</w:t>
      </w:r>
    </w:p>
    <w:p>
      <w:pPr>
        <w:keepNext w:val="0"/>
        <w:keepLines w:val="0"/>
        <w:pageBreakBefore w:val="0"/>
        <w:numPr>
          <w:ilvl w:val="0"/>
          <w:numId w:val="5"/>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TPM的两大基石和三大哲学思想</w:t>
      </w:r>
    </w:p>
    <w:p>
      <w:pPr>
        <w:keepNext w:val="0"/>
        <w:keepLines w:val="0"/>
        <w:pageBreakBefore w:val="0"/>
        <w:numPr>
          <w:ilvl w:val="0"/>
          <w:numId w:val="5"/>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 xml:space="preserve">TPM活动的八大支柱  </w:t>
      </w:r>
    </w:p>
    <w:p>
      <w:pPr>
        <w:keepNext w:val="0"/>
        <w:keepLines w:val="0"/>
        <w:pageBreakBefore w:val="0"/>
        <w:numPr>
          <w:ilvl w:val="0"/>
          <w:numId w:val="5"/>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TPM活动三大神器</w:t>
      </w:r>
    </w:p>
    <w:p>
      <w:pPr>
        <w:keepNext w:val="0"/>
        <w:keepLines w:val="0"/>
        <w:pageBreakBefore w:val="0"/>
        <w:numPr>
          <w:ilvl w:val="0"/>
          <w:numId w:val="2"/>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以可靠性为中心的设备维修RCM</w:t>
      </w:r>
    </w:p>
    <w:p>
      <w:pPr>
        <w:keepNext w:val="0"/>
        <w:keepLines w:val="0"/>
        <w:pageBreakBefore w:val="0"/>
        <w:numPr>
          <w:ilvl w:val="0"/>
          <w:numId w:val="6"/>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RCM简介</w:t>
      </w:r>
    </w:p>
    <w:p>
      <w:pPr>
        <w:keepNext w:val="0"/>
        <w:keepLines w:val="0"/>
        <w:pageBreakBefore w:val="0"/>
        <w:numPr>
          <w:ilvl w:val="0"/>
          <w:numId w:val="6"/>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FMEA的基本原理</w:t>
      </w:r>
    </w:p>
    <w:p>
      <w:pPr>
        <w:pStyle w:val="7"/>
        <w:keepNext w:val="0"/>
        <w:keepLines w:val="0"/>
        <w:pageBreakBefore w:val="0"/>
        <w:kinsoku/>
        <w:wordWrap/>
        <w:overflowPunct/>
        <w:topLinePunct w:val="0"/>
        <w:autoSpaceDE/>
        <w:autoSpaceDN/>
        <w:bidi w:val="0"/>
        <w:adjustRightInd/>
        <w:snapToGrid/>
        <w:spacing w:line="480" w:lineRule="exact"/>
        <w:ind w:firstLine="896" w:firstLineChars="427"/>
        <w:textAlignment w:val="auto"/>
        <w:rPr>
          <w:rFonts w:hint="default" w:ascii="Times New Roman" w:hAnsi="Times New Roman" w:eastAsia="微软雅黑" w:cs="Times New Roman"/>
          <w:szCs w:val="21"/>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rPr>
        <w:t>第二章 设备维修MFMEA</w:t>
      </w:r>
    </w:p>
    <w:p>
      <w:pPr>
        <w:keepNext w:val="0"/>
        <w:keepLines w:val="0"/>
        <w:pageBreakBefore w:val="0"/>
        <w:numPr>
          <w:ilvl w:val="0"/>
          <w:numId w:val="7"/>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设备维修MFMEA概述</w:t>
      </w:r>
    </w:p>
    <w:p>
      <w:pPr>
        <w:keepNext w:val="0"/>
        <w:keepLines w:val="0"/>
        <w:pageBreakBefore w:val="0"/>
        <w:numPr>
          <w:ilvl w:val="0"/>
          <w:numId w:val="8"/>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MFMEA的定义</w:t>
      </w:r>
    </w:p>
    <w:p>
      <w:pPr>
        <w:keepNext w:val="0"/>
        <w:keepLines w:val="0"/>
        <w:pageBreakBefore w:val="0"/>
        <w:numPr>
          <w:ilvl w:val="0"/>
          <w:numId w:val="8"/>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MFMEA的作用</w:t>
      </w:r>
    </w:p>
    <w:p>
      <w:pPr>
        <w:keepNext w:val="0"/>
        <w:keepLines w:val="0"/>
        <w:pageBreakBefore w:val="0"/>
        <w:numPr>
          <w:ilvl w:val="0"/>
          <w:numId w:val="7"/>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MFMEA制作流程</w:t>
      </w:r>
    </w:p>
    <w:p>
      <w:pPr>
        <w:keepNext w:val="0"/>
        <w:keepLines w:val="0"/>
        <w:pageBreakBefore w:val="0"/>
        <w:numPr>
          <w:ilvl w:val="0"/>
          <w:numId w:val="9"/>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MFMEA实施流程</w:t>
      </w:r>
    </w:p>
    <w:p>
      <w:pPr>
        <w:keepNext w:val="0"/>
        <w:keepLines w:val="0"/>
        <w:pageBreakBefore w:val="0"/>
        <w:numPr>
          <w:ilvl w:val="0"/>
          <w:numId w:val="9"/>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设备维修MFMEA的需求</w:t>
      </w:r>
    </w:p>
    <w:p>
      <w:pPr>
        <w:keepNext w:val="0"/>
        <w:keepLines w:val="0"/>
        <w:pageBreakBefore w:val="0"/>
        <w:numPr>
          <w:ilvl w:val="0"/>
          <w:numId w:val="9"/>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采用设备维修MFMEA的时机</w:t>
      </w:r>
    </w:p>
    <w:p>
      <w:pPr>
        <w:keepNext w:val="0"/>
        <w:keepLines w:val="0"/>
        <w:pageBreakBefore w:val="0"/>
        <w:numPr>
          <w:ilvl w:val="0"/>
          <w:numId w:val="9"/>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MFMEA团队要求</w:t>
      </w:r>
    </w:p>
    <w:p>
      <w:pPr>
        <w:keepNext w:val="0"/>
        <w:keepLines w:val="0"/>
        <w:pageBreakBefore w:val="0"/>
        <w:numPr>
          <w:ilvl w:val="0"/>
          <w:numId w:val="9"/>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 xml:space="preserve"> MFMEA制作六步骤</w:t>
      </w:r>
    </w:p>
    <w:p>
      <w:pPr>
        <w:keepNext w:val="0"/>
        <w:keepLines w:val="0"/>
        <w:pageBreakBefore w:val="0"/>
        <w:numPr>
          <w:ilvl w:val="0"/>
          <w:numId w:val="7"/>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MFMEA实施指南</w:t>
      </w:r>
    </w:p>
    <w:p>
      <w:pPr>
        <w:keepNext w:val="0"/>
        <w:keepLines w:val="0"/>
        <w:pageBreakBefore w:val="0"/>
        <w:numPr>
          <w:ilvl w:val="0"/>
          <w:numId w:val="10"/>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设备信息的收集和整理</w:t>
      </w:r>
    </w:p>
    <w:p>
      <w:pPr>
        <w:keepNext w:val="0"/>
        <w:keepLines w:val="0"/>
        <w:pageBreakBefore w:val="0"/>
        <w:numPr>
          <w:ilvl w:val="0"/>
          <w:numId w:val="10"/>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填写设备FMEA 表格逻辑</w:t>
      </w:r>
    </w:p>
    <w:p>
      <w:pPr>
        <w:keepNext w:val="0"/>
        <w:keepLines w:val="0"/>
        <w:pageBreakBefore w:val="0"/>
        <w:numPr>
          <w:ilvl w:val="0"/>
          <w:numId w:val="10"/>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填写设备FMEA 表格基本信息</w:t>
      </w:r>
    </w:p>
    <w:p>
      <w:pPr>
        <w:keepNext w:val="0"/>
        <w:keepLines w:val="0"/>
        <w:pageBreakBefore w:val="0"/>
        <w:numPr>
          <w:ilvl w:val="0"/>
          <w:numId w:val="10"/>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故障风险的评价打分和措施计划（RPN &amp; AP）</w:t>
      </w:r>
    </w:p>
    <w:p>
      <w:pPr>
        <w:keepNext w:val="0"/>
        <w:keepLines w:val="0"/>
        <w:pageBreakBefore w:val="0"/>
        <w:kinsoku/>
        <w:wordWrap/>
        <w:overflowPunct/>
        <w:topLinePunct w:val="0"/>
        <w:autoSpaceDE/>
        <w:autoSpaceDN/>
        <w:bidi w:val="0"/>
        <w:adjustRightInd/>
        <w:snapToGrid/>
        <w:spacing w:line="480" w:lineRule="exact"/>
        <w:ind w:left="420"/>
        <w:textAlignment w:val="auto"/>
        <w:rPr>
          <w:rFonts w:hint="default" w:ascii="Times New Roman" w:hAnsi="Times New Roman" w:eastAsia="微软雅黑" w:cs="Times New Roman"/>
        </w:rPr>
      </w:pPr>
      <w:r>
        <w:rPr>
          <w:rFonts w:hint="default" w:ascii="Times New Roman" w:hAnsi="Times New Roman" w:eastAsia="微软雅黑" w:cs="Times New Roman"/>
        </w:rPr>
        <w:t>【MFMEA小组课堂练习（案例及点评）】</w:t>
      </w:r>
    </w:p>
    <w:p>
      <w:pPr>
        <w:keepNext w:val="0"/>
        <w:keepLines w:val="0"/>
        <w:pageBreakBefore w:val="0"/>
        <w:kinsoku/>
        <w:wordWrap/>
        <w:overflowPunct/>
        <w:topLinePunct w:val="0"/>
        <w:autoSpaceDE/>
        <w:autoSpaceDN/>
        <w:bidi w:val="0"/>
        <w:adjustRightInd/>
        <w:snapToGrid/>
        <w:spacing w:line="480" w:lineRule="exact"/>
        <w:ind w:left="420"/>
        <w:textAlignment w:val="auto"/>
        <w:rPr>
          <w:rFonts w:hint="default" w:ascii="Times New Roman" w:hAnsi="Times New Roman" w:eastAsia="微软雅黑" w:cs="Times New Roman"/>
        </w:rPr>
      </w:pPr>
    </w:p>
    <w:p>
      <w:pPr>
        <w:keepNext w:val="0"/>
        <w:keepLines w:val="0"/>
        <w:pageBreakBefore w:val="0"/>
        <w:numPr>
          <w:ilvl w:val="0"/>
          <w:numId w:val="7"/>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szCs w:val="21"/>
        </w:rPr>
      </w:pPr>
      <w:r>
        <w:rPr>
          <w:rFonts w:hint="default" w:ascii="Times New Roman" w:hAnsi="Times New Roman" w:eastAsia="微软雅黑" w:cs="Times New Roman"/>
          <w:b/>
          <w:szCs w:val="21"/>
        </w:rPr>
        <w:t>MFMEA实施过程总结</w:t>
      </w:r>
    </w:p>
    <w:p>
      <w:pPr>
        <w:keepNext w:val="0"/>
        <w:keepLines w:val="0"/>
        <w:pageBreakBefore w:val="0"/>
        <w:numPr>
          <w:ilvl w:val="0"/>
          <w:numId w:val="11"/>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MFMEA的特点</w:t>
      </w:r>
    </w:p>
    <w:p>
      <w:pPr>
        <w:keepNext w:val="0"/>
        <w:keepLines w:val="0"/>
        <w:pageBreakBefore w:val="0"/>
        <w:numPr>
          <w:ilvl w:val="0"/>
          <w:numId w:val="11"/>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MFMEA实施常见的7大问题</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rPr>
        <w:t>第三章 设备零故障活动</w:t>
      </w:r>
    </w:p>
    <w:p>
      <w:pPr>
        <w:keepNext w:val="0"/>
        <w:keepLines w:val="0"/>
        <w:pageBreakBefore w:val="0"/>
        <w:numPr>
          <w:ilvl w:val="0"/>
          <w:numId w:val="12"/>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bCs/>
        </w:rPr>
        <w:t>设备故</w:t>
      </w:r>
      <w:r>
        <w:rPr>
          <w:rFonts w:hint="default" w:ascii="Times New Roman" w:hAnsi="Times New Roman" w:eastAsia="微软雅黑" w:cs="Times New Roman"/>
          <w:b/>
          <w:szCs w:val="21"/>
        </w:rPr>
        <w:t>障的发生发展规律</w:t>
      </w:r>
    </w:p>
    <w:p>
      <w:pPr>
        <w:keepNext w:val="0"/>
        <w:keepLines w:val="0"/>
        <w:pageBreakBefore w:val="0"/>
        <w:numPr>
          <w:ilvl w:val="0"/>
          <w:numId w:val="13"/>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设备故障的发生发展规律</w:t>
      </w:r>
    </w:p>
    <w:p>
      <w:pPr>
        <w:keepNext w:val="0"/>
        <w:keepLines w:val="0"/>
        <w:pageBreakBefore w:val="0"/>
        <w:numPr>
          <w:ilvl w:val="0"/>
          <w:numId w:val="13"/>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正确的故障对策分析思路</w:t>
      </w:r>
    </w:p>
    <w:p>
      <w:pPr>
        <w:keepNext w:val="0"/>
        <w:keepLines w:val="0"/>
        <w:pageBreakBefore w:val="0"/>
        <w:numPr>
          <w:ilvl w:val="0"/>
          <w:numId w:val="12"/>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开展零故障管理活动</w:t>
      </w:r>
    </w:p>
    <w:p>
      <w:pPr>
        <w:keepNext w:val="0"/>
        <w:keepLines w:val="0"/>
        <w:pageBreakBefore w:val="0"/>
        <w:numPr>
          <w:ilvl w:val="0"/>
          <w:numId w:val="14"/>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故障零化的四个阶段</w:t>
      </w:r>
    </w:p>
    <w:p>
      <w:pPr>
        <w:keepNext w:val="0"/>
        <w:keepLines w:val="0"/>
        <w:pageBreakBefore w:val="0"/>
        <w:numPr>
          <w:ilvl w:val="0"/>
          <w:numId w:val="14"/>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建立健全故障管理体系</w:t>
      </w:r>
    </w:p>
    <w:p>
      <w:pPr>
        <w:keepNext w:val="0"/>
        <w:keepLines w:val="0"/>
        <w:pageBreakBefore w:val="0"/>
        <w:numPr>
          <w:ilvl w:val="0"/>
          <w:numId w:val="12"/>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典型故障解析方法介绍</w:t>
      </w:r>
    </w:p>
    <w:p>
      <w:pPr>
        <w:keepNext w:val="0"/>
        <w:keepLines w:val="0"/>
        <w:pageBreakBefore w:val="0"/>
        <w:numPr>
          <w:ilvl w:val="0"/>
          <w:numId w:val="15"/>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统计分析法/ MTBF分析法/5why分析法/PM分析法</w:t>
      </w:r>
    </w:p>
    <w:p>
      <w:pPr>
        <w:keepNext w:val="0"/>
        <w:keepLines w:val="0"/>
        <w:pageBreakBefore w:val="0"/>
        <w:numPr>
          <w:ilvl w:val="0"/>
          <w:numId w:val="15"/>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故障对策五步骤</w:t>
      </w:r>
    </w:p>
    <w:p>
      <w:pPr>
        <w:pStyle w:val="7"/>
        <w:keepNext w:val="0"/>
        <w:keepLines w:val="0"/>
        <w:pageBreakBefore w:val="0"/>
        <w:kinsoku/>
        <w:wordWrap/>
        <w:overflowPunct/>
        <w:topLinePunct w:val="0"/>
        <w:autoSpaceDE/>
        <w:autoSpaceDN/>
        <w:bidi w:val="0"/>
        <w:adjustRightInd/>
        <w:snapToGrid/>
        <w:spacing w:line="480" w:lineRule="exact"/>
        <w:ind w:firstLine="896" w:firstLineChars="427"/>
        <w:textAlignment w:val="auto"/>
        <w:rPr>
          <w:rFonts w:hint="default" w:ascii="Times New Roman" w:hAnsi="Times New Roman" w:eastAsia="微软雅黑" w:cs="Times New Roman"/>
          <w:szCs w:val="21"/>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rPr>
        <w:t>第四章 设备维修业务的高效实施</w:t>
      </w:r>
    </w:p>
    <w:p>
      <w:pPr>
        <w:keepNext w:val="0"/>
        <w:keepLines w:val="0"/>
        <w:pageBreakBefore w:val="0"/>
        <w:numPr>
          <w:ilvl w:val="0"/>
          <w:numId w:val="16"/>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由设备FMEA导出的设备维修保养要求</w:t>
      </w:r>
    </w:p>
    <w:p>
      <w:pPr>
        <w:keepNext w:val="0"/>
        <w:keepLines w:val="0"/>
        <w:pageBreakBefore w:val="0"/>
        <w:numPr>
          <w:ilvl w:val="0"/>
          <w:numId w:val="17"/>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由设备FMEA导出的设备维修保养要求的基本逻辑</w:t>
      </w:r>
    </w:p>
    <w:p>
      <w:pPr>
        <w:keepNext w:val="0"/>
        <w:keepLines w:val="0"/>
        <w:pageBreakBefore w:val="0"/>
        <w:numPr>
          <w:ilvl w:val="0"/>
          <w:numId w:val="17"/>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维修保养业务的分工</w:t>
      </w:r>
    </w:p>
    <w:p>
      <w:pPr>
        <w:keepNext w:val="0"/>
        <w:keepLines w:val="0"/>
        <w:pageBreakBefore w:val="0"/>
        <w:numPr>
          <w:ilvl w:val="0"/>
          <w:numId w:val="16"/>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TPM维修保养的分工</w:t>
      </w:r>
    </w:p>
    <w:p>
      <w:pPr>
        <w:keepNext w:val="0"/>
        <w:keepLines w:val="0"/>
        <w:pageBreakBefore w:val="0"/>
        <w:numPr>
          <w:ilvl w:val="0"/>
          <w:numId w:val="18"/>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以生产部门为中心的活动</w:t>
      </w:r>
    </w:p>
    <w:p>
      <w:pPr>
        <w:keepNext w:val="0"/>
        <w:keepLines w:val="0"/>
        <w:pageBreakBefore w:val="0"/>
        <w:numPr>
          <w:ilvl w:val="0"/>
          <w:numId w:val="18"/>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以设备部门为中心的活动</w:t>
      </w:r>
    </w:p>
    <w:p>
      <w:pPr>
        <w:keepNext w:val="0"/>
        <w:keepLines w:val="0"/>
        <w:pageBreakBefore w:val="0"/>
        <w:numPr>
          <w:ilvl w:val="0"/>
          <w:numId w:val="18"/>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建立有效的设备点检制度</w:t>
      </w:r>
    </w:p>
    <w:p>
      <w:pPr>
        <w:keepNext w:val="0"/>
        <w:keepLines w:val="0"/>
        <w:pageBreakBefore w:val="0"/>
        <w:numPr>
          <w:ilvl w:val="0"/>
          <w:numId w:val="16"/>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利用状态监测与预知维修的设备风险改善</w:t>
      </w:r>
    </w:p>
    <w:p>
      <w:pPr>
        <w:keepNext w:val="0"/>
        <w:keepLines w:val="0"/>
        <w:pageBreakBefore w:val="0"/>
        <w:numPr>
          <w:ilvl w:val="0"/>
          <w:numId w:val="19"/>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状态监测与预知维修的概念和应用范围</w:t>
      </w:r>
    </w:p>
    <w:p>
      <w:pPr>
        <w:keepNext w:val="0"/>
        <w:keepLines w:val="0"/>
        <w:pageBreakBefore w:val="0"/>
        <w:numPr>
          <w:ilvl w:val="0"/>
          <w:numId w:val="19"/>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状态监测与预知维修的作用</w:t>
      </w:r>
    </w:p>
    <w:p>
      <w:pPr>
        <w:keepNext w:val="0"/>
        <w:keepLines w:val="0"/>
        <w:pageBreakBefore w:val="0"/>
        <w:numPr>
          <w:ilvl w:val="0"/>
          <w:numId w:val="19"/>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预知维修活动的开展内容和常用方法</w:t>
      </w:r>
    </w:p>
    <w:p>
      <w:pPr>
        <w:keepNext w:val="0"/>
        <w:keepLines w:val="0"/>
        <w:pageBreakBefore w:val="0"/>
        <w:numPr>
          <w:ilvl w:val="0"/>
          <w:numId w:val="19"/>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状态监测与预知维修开展流程</w:t>
      </w:r>
    </w:p>
    <w:p>
      <w:pPr>
        <w:keepNext w:val="0"/>
        <w:keepLines w:val="0"/>
        <w:pageBreakBefore w:val="0"/>
        <w:numPr>
          <w:ilvl w:val="0"/>
          <w:numId w:val="16"/>
        </w:numPr>
        <w:kinsoku/>
        <w:wordWrap/>
        <w:overflowPunct/>
        <w:topLinePunct w:val="0"/>
        <w:autoSpaceDE/>
        <w:autoSpaceDN/>
        <w:bidi w:val="0"/>
        <w:adjustRightInd/>
        <w:snapToGrid/>
        <w:spacing w:line="480" w:lineRule="exact"/>
        <w:ind w:firstLine="0"/>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改善定期维修质量</w:t>
      </w:r>
    </w:p>
    <w:p>
      <w:pPr>
        <w:keepNext w:val="0"/>
        <w:keepLines w:val="0"/>
        <w:pageBreakBefore w:val="0"/>
        <w:numPr>
          <w:ilvl w:val="0"/>
          <w:numId w:val="20"/>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定期（定量）维修的概念和应用范围</w:t>
      </w:r>
    </w:p>
    <w:p>
      <w:pPr>
        <w:keepNext w:val="0"/>
        <w:keepLines w:val="0"/>
        <w:pageBreakBefore w:val="0"/>
        <w:numPr>
          <w:ilvl w:val="0"/>
          <w:numId w:val="20"/>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定期维修的实施步骤</w:t>
      </w:r>
    </w:p>
    <w:p>
      <w:pPr>
        <w:keepNext w:val="0"/>
        <w:keepLines w:val="0"/>
        <w:pageBreakBefore w:val="0"/>
        <w:numPr>
          <w:ilvl w:val="0"/>
          <w:numId w:val="20"/>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维修作业标准化</w:t>
      </w:r>
    </w:p>
    <w:p>
      <w:pPr>
        <w:keepNext w:val="0"/>
        <w:keepLines w:val="0"/>
        <w:pageBreakBefore w:val="0"/>
        <w:numPr>
          <w:ilvl w:val="0"/>
          <w:numId w:val="20"/>
        </w:numPr>
        <w:kinsoku/>
        <w:wordWrap/>
        <w:overflowPunct/>
        <w:topLinePunct w:val="0"/>
        <w:autoSpaceDE/>
        <w:autoSpaceDN/>
        <w:bidi w:val="0"/>
        <w:adjustRightInd/>
        <w:snapToGrid/>
        <w:spacing w:line="480" w:lineRule="exact"/>
        <w:ind w:hanging="5"/>
        <w:textAlignment w:val="auto"/>
        <w:rPr>
          <w:rFonts w:hint="default" w:ascii="Times New Roman" w:hAnsi="Times New Roman" w:eastAsia="微软雅黑" w:cs="Times New Roman"/>
        </w:rPr>
      </w:pPr>
      <w:r>
        <w:rPr>
          <w:rFonts w:hint="default" w:ascii="Times New Roman" w:hAnsi="Times New Roman" w:eastAsia="微软雅黑" w:cs="Times New Roman"/>
        </w:rPr>
        <w:t>维修作业可视化</w:t>
      </w:r>
    </w:p>
    <w:p>
      <w:pPr>
        <w:keepNext w:val="0"/>
        <w:keepLines w:val="0"/>
        <w:pageBreakBefore w:val="0"/>
        <w:kinsoku/>
        <w:wordWrap/>
        <w:overflowPunct/>
        <w:topLinePunct w:val="0"/>
        <w:autoSpaceDE/>
        <w:autoSpaceDN/>
        <w:bidi w:val="0"/>
        <w:adjustRightInd/>
        <w:snapToGrid/>
        <w:spacing w:line="480" w:lineRule="exact"/>
        <w:ind w:left="420"/>
        <w:textAlignment w:val="auto"/>
        <w:rPr>
          <w:rFonts w:hint="default" w:ascii="Times New Roman" w:hAnsi="Times New Roman" w:eastAsia="微软雅黑" w:cs="Times New Roman"/>
          <w:b/>
          <w:bCs/>
        </w:rPr>
      </w:pPr>
      <w:r>
        <w:rPr>
          <w:rFonts w:hint="default" w:ascii="Times New Roman" w:hAnsi="Times New Roman" w:eastAsia="微软雅黑" w:cs="Times New Roman"/>
          <w:b/>
          <w:bCs/>
        </w:rPr>
        <w:t>课程结束   Q&amp;A</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讲师介绍：</w:t>
      </w:r>
      <w:r>
        <w:rPr>
          <w:rFonts w:hint="default" w:ascii="Times New Roman" w:hAnsi="Times New Roman" w:eastAsia="微软雅黑" w:cs="Times New Roman"/>
          <w:b/>
          <w:sz w:val="24"/>
          <w:szCs w:val="24"/>
          <w14:shadow w14:blurRad="50800" w14:dist="38100" w14:dir="2700000" w14:sx="100000" w14:sy="100000" w14:kx="0" w14:ky="0" w14:algn="tl">
            <w14:srgbClr w14:val="000000">
              <w14:alpha w14:val="60000"/>
            </w14:srgbClr>
          </w14:shadow>
        </w:rPr>
        <w:t>王老师</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工作经历：</w:t>
      </w:r>
    </w:p>
    <w:p>
      <w:pPr>
        <w:keepNext w:val="0"/>
        <w:keepLines w:val="0"/>
        <w:pageBreakBefore w:val="0"/>
        <w:numPr>
          <w:ilvl w:val="0"/>
          <w:numId w:val="21"/>
        </w:numPr>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1990年毕业哈尔滨工业大学，设备制造工艺专业；</w:t>
      </w:r>
    </w:p>
    <w:p>
      <w:pPr>
        <w:keepNext w:val="0"/>
        <w:keepLines w:val="0"/>
        <w:pageBreakBefore w:val="0"/>
        <w:numPr>
          <w:ilvl w:val="0"/>
          <w:numId w:val="21"/>
        </w:numPr>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前8年在国企军工负责技术、工艺和质量管理；</w:t>
      </w:r>
    </w:p>
    <w:p>
      <w:pPr>
        <w:keepNext w:val="0"/>
        <w:keepLines w:val="0"/>
        <w:pageBreakBefore w:val="0"/>
        <w:numPr>
          <w:ilvl w:val="0"/>
          <w:numId w:val="21"/>
        </w:numPr>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 xml:space="preserve">后12年在汽车行业大型韩企负责质量管理、TPM、5S、提案活动；  </w:t>
      </w:r>
    </w:p>
    <w:p>
      <w:pPr>
        <w:keepNext w:val="0"/>
        <w:keepLines w:val="0"/>
        <w:pageBreakBefore w:val="0"/>
        <w:numPr>
          <w:ilvl w:val="0"/>
          <w:numId w:val="21"/>
        </w:numPr>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现知名公司创新战略顾问；</w:t>
      </w:r>
    </w:p>
    <w:p>
      <w:pPr>
        <w:keepNext w:val="0"/>
        <w:keepLines w:val="0"/>
        <w:pageBreakBefore w:val="0"/>
        <w:numPr>
          <w:ilvl w:val="0"/>
          <w:numId w:val="21"/>
        </w:numPr>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03年开始与强思合作兼职培训辅导。</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 xml:space="preserve">29年的企业工作经历，曾先后担任技术、生产管理、质量管理、教育培训、设备管理等要职；多次赴韩国、日本研修交流TPM，领导、组织企业内部QCC、5S及TPM项目的推导与实施，特别是在担任培训部门经理2年期间，成功地推导建立了定做型教育培训体系，对改善企业产品品质，大幅度提高生产效率，降低生产成本等产生了显著的作用。 </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其他培训及辅导的部分代表客户：</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苏州三洋能源、苏州矽品科技、上海住建、汉高股份、紫江集团、不凡帝范梅勒、科世达-华阳、杭州眼力健、杭州南都电源、德芙巧克力、圣戈班玻璃、北车集团、蔡司工业测量技术、富士通天电子、联合汽车电子、通领汽车饰件、中国第一铅笔股份、神舟新能源、通用电气医疗系统、卡特彼勒、日东电工、哈药集团、伊怡乳业、金亭汽车线束、三电汽车空调、贝卡尔特合金材料、德尔格医疗器械、东洋炭素、普利茂斯永乐胶带、克朗斯机械、乾大化工材料、美国联合技术消防安保公司等国内外著名公司。</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辅导特长：</w:t>
      </w:r>
    </w:p>
    <w:p>
      <w:pPr>
        <w:keepNext w:val="0"/>
        <w:keepLines w:val="0"/>
        <w:pageBreakBefore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王老师能根据企业培训需求，或企业现状识别企业培训需求，并根据企业特点量身定做，专门策划针对性强的培训课程，从而提高培训的效果。知识讲解、案例分析讨论、角色演练、小组讨论、互动交流、游戏感悟、头脑风暴、强调学员参与是王老师的一般授课风格。</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部分课程列表：</w:t>
      </w:r>
    </w:p>
    <w:p>
      <w:pPr>
        <w:keepNext w:val="0"/>
        <w:keepLines w:val="0"/>
        <w:pageBreakBefore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微软雅黑" w:cs="Times New Roman"/>
          <w:b/>
          <w:color w:val="0000FF"/>
          <w:sz w:val="44"/>
        </w:rPr>
      </w:pPr>
      <w:r>
        <w:rPr>
          <w:rFonts w:hint="default" w:ascii="Times New Roman" w:hAnsi="Times New Roman" w:eastAsia="微软雅黑" w:cs="Times New Roman"/>
          <w:szCs w:val="21"/>
        </w:rPr>
        <w:t>全面生产管理TPM、5S（6S）活动（打造完美的现场）、精益生产（TPS革新训练营）、TWI（一线班组长训练营）、管理体系方面、建立高效的教育培训体系。</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42887"/>
    <w:multiLevelType w:val="singleLevel"/>
    <w:tmpl w:val="80642887"/>
    <w:lvl w:ilvl="0" w:tentative="0">
      <w:start w:val="1"/>
      <w:numFmt w:val="decimal"/>
      <w:lvlText w:val="%1."/>
      <w:lvlJc w:val="left"/>
      <w:pPr>
        <w:ind w:left="425" w:hanging="425"/>
      </w:pPr>
      <w:rPr>
        <w:rFonts w:hint="default"/>
      </w:rPr>
    </w:lvl>
  </w:abstractNum>
  <w:abstractNum w:abstractNumId="1">
    <w:nsid w:val="8A0950F1"/>
    <w:multiLevelType w:val="singleLevel"/>
    <w:tmpl w:val="8A0950F1"/>
    <w:lvl w:ilvl="0" w:tentative="0">
      <w:start w:val="1"/>
      <w:numFmt w:val="chineseCounting"/>
      <w:suff w:val="nothing"/>
      <w:lvlText w:val="%1、"/>
      <w:lvlJc w:val="left"/>
      <w:pPr>
        <w:ind w:left="0" w:firstLine="420"/>
      </w:pPr>
      <w:rPr>
        <w:rFonts w:hint="eastAsia"/>
      </w:rPr>
    </w:lvl>
  </w:abstractNum>
  <w:abstractNum w:abstractNumId="2">
    <w:nsid w:val="97BDC463"/>
    <w:multiLevelType w:val="singleLevel"/>
    <w:tmpl w:val="97BDC463"/>
    <w:lvl w:ilvl="0" w:tentative="0">
      <w:start w:val="1"/>
      <w:numFmt w:val="decimal"/>
      <w:lvlText w:val="%1."/>
      <w:lvlJc w:val="left"/>
      <w:pPr>
        <w:ind w:left="425" w:hanging="425"/>
      </w:pPr>
      <w:rPr>
        <w:rFonts w:hint="default"/>
      </w:rPr>
    </w:lvl>
  </w:abstractNum>
  <w:abstractNum w:abstractNumId="3">
    <w:nsid w:val="9F104931"/>
    <w:multiLevelType w:val="singleLevel"/>
    <w:tmpl w:val="9F104931"/>
    <w:lvl w:ilvl="0" w:tentative="0">
      <w:start w:val="1"/>
      <w:numFmt w:val="chineseCounting"/>
      <w:suff w:val="nothing"/>
      <w:lvlText w:val="%1、"/>
      <w:lvlJc w:val="left"/>
      <w:pPr>
        <w:ind w:left="0" w:firstLine="420"/>
      </w:pPr>
      <w:rPr>
        <w:rFonts w:hint="eastAsia"/>
      </w:rPr>
    </w:lvl>
  </w:abstractNum>
  <w:abstractNum w:abstractNumId="4">
    <w:nsid w:val="A51D0703"/>
    <w:multiLevelType w:val="singleLevel"/>
    <w:tmpl w:val="A51D0703"/>
    <w:lvl w:ilvl="0" w:tentative="0">
      <w:start w:val="1"/>
      <w:numFmt w:val="decimal"/>
      <w:lvlText w:val="%1."/>
      <w:lvlJc w:val="left"/>
      <w:pPr>
        <w:ind w:left="425" w:hanging="425"/>
      </w:pPr>
      <w:rPr>
        <w:rFonts w:hint="default"/>
      </w:rPr>
    </w:lvl>
  </w:abstractNum>
  <w:abstractNum w:abstractNumId="5">
    <w:nsid w:val="ABDC71A5"/>
    <w:multiLevelType w:val="singleLevel"/>
    <w:tmpl w:val="ABDC71A5"/>
    <w:lvl w:ilvl="0" w:tentative="0">
      <w:start w:val="1"/>
      <w:numFmt w:val="decimal"/>
      <w:lvlText w:val="%1."/>
      <w:lvlJc w:val="left"/>
      <w:pPr>
        <w:ind w:left="425" w:hanging="425"/>
      </w:pPr>
      <w:rPr>
        <w:rFonts w:hint="default"/>
      </w:rPr>
    </w:lvl>
  </w:abstractNum>
  <w:abstractNum w:abstractNumId="6">
    <w:nsid w:val="E3316B12"/>
    <w:multiLevelType w:val="singleLevel"/>
    <w:tmpl w:val="E3316B12"/>
    <w:lvl w:ilvl="0" w:tentative="0">
      <w:start w:val="1"/>
      <w:numFmt w:val="decimal"/>
      <w:lvlText w:val="%1."/>
      <w:lvlJc w:val="left"/>
      <w:pPr>
        <w:ind w:left="425" w:hanging="425"/>
      </w:pPr>
      <w:rPr>
        <w:rFonts w:hint="default"/>
      </w:rPr>
    </w:lvl>
  </w:abstractNum>
  <w:abstractNum w:abstractNumId="7">
    <w:nsid w:val="E5364B9F"/>
    <w:multiLevelType w:val="singleLevel"/>
    <w:tmpl w:val="E5364B9F"/>
    <w:lvl w:ilvl="0" w:tentative="0">
      <w:start w:val="1"/>
      <w:numFmt w:val="chineseCounting"/>
      <w:suff w:val="nothing"/>
      <w:lvlText w:val="%1、"/>
      <w:lvlJc w:val="left"/>
      <w:pPr>
        <w:ind w:left="0" w:firstLine="420"/>
      </w:pPr>
      <w:rPr>
        <w:rFonts w:hint="eastAsia"/>
      </w:rPr>
    </w:lvl>
  </w:abstractNum>
  <w:abstractNum w:abstractNumId="8">
    <w:nsid w:val="0E7250DE"/>
    <w:multiLevelType w:val="singleLevel"/>
    <w:tmpl w:val="0E7250DE"/>
    <w:lvl w:ilvl="0" w:tentative="0">
      <w:start w:val="1"/>
      <w:numFmt w:val="bullet"/>
      <w:lvlText w:val=""/>
      <w:lvlJc w:val="left"/>
      <w:pPr>
        <w:ind w:left="420" w:hanging="420"/>
      </w:pPr>
      <w:rPr>
        <w:rFonts w:hint="default" w:ascii="Wingdings" w:hAnsi="Wingdings"/>
      </w:rPr>
    </w:lvl>
  </w:abstractNum>
  <w:abstractNum w:abstractNumId="9">
    <w:nsid w:val="0EC5B53A"/>
    <w:multiLevelType w:val="singleLevel"/>
    <w:tmpl w:val="0EC5B53A"/>
    <w:lvl w:ilvl="0" w:tentative="0">
      <w:start w:val="1"/>
      <w:numFmt w:val="decimal"/>
      <w:lvlText w:val="%1."/>
      <w:lvlJc w:val="left"/>
      <w:pPr>
        <w:ind w:left="425" w:hanging="425"/>
      </w:pPr>
      <w:rPr>
        <w:rFonts w:hint="default"/>
      </w:rPr>
    </w:lvl>
  </w:abstractNum>
  <w:abstractNum w:abstractNumId="10">
    <w:nsid w:val="1025B85E"/>
    <w:multiLevelType w:val="singleLevel"/>
    <w:tmpl w:val="1025B85E"/>
    <w:lvl w:ilvl="0" w:tentative="0">
      <w:start w:val="1"/>
      <w:numFmt w:val="decimal"/>
      <w:lvlText w:val="%1."/>
      <w:lvlJc w:val="left"/>
      <w:pPr>
        <w:ind w:left="425" w:hanging="425"/>
      </w:pPr>
      <w:rPr>
        <w:rFonts w:hint="default"/>
      </w:rPr>
    </w:lvl>
  </w:abstractNum>
  <w:abstractNum w:abstractNumId="11">
    <w:nsid w:val="2155E592"/>
    <w:multiLevelType w:val="singleLevel"/>
    <w:tmpl w:val="2155E592"/>
    <w:lvl w:ilvl="0" w:tentative="0">
      <w:start w:val="1"/>
      <w:numFmt w:val="decimal"/>
      <w:lvlText w:val="%1."/>
      <w:lvlJc w:val="left"/>
      <w:pPr>
        <w:ind w:left="425" w:hanging="425"/>
      </w:pPr>
      <w:rPr>
        <w:rFonts w:hint="default"/>
      </w:rPr>
    </w:lvl>
  </w:abstractNum>
  <w:abstractNum w:abstractNumId="12">
    <w:nsid w:val="2B21F637"/>
    <w:multiLevelType w:val="singleLevel"/>
    <w:tmpl w:val="2B21F637"/>
    <w:lvl w:ilvl="0" w:tentative="0">
      <w:start w:val="1"/>
      <w:numFmt w:val="decimal"/>
      <w:lvlText w:val="%1."/>
      <w:lvlJc w:val="left"/>
      <w:pPr>
        <w:ind w:left="425" w:hanging="425"/>
      </w:pPr>
      <w:rPr>
        <w:rFonts w:hint="default"/>
      </w:rPr>
    </w:lvl>
  </w:abstractNum>
  <w:abstractNum w:abstractNumId="13">
    <w:nsid w:val="375090AE"/>
    <w:multiLevelType w:val="singleLevel"/>
    <w:tmpl w:val="375090AE"/>
    <w:lvl w:ilvl="0" w:tentative="0">
      <w:start w:val="1"/>
      <w:numFmt w:val="decimal"/>
      <w:lvlText w:val="%1."/>
      <w:lvlJc w:val="left"/>
      <w:pPr>
        <w:ind w:left="425" w:hanging="425"/>
      </w:pPr>
      <w:rPr>
        <w:rFonts w:hint="default"/>
      </w:rPr>
    </w:lvl>
  </w:abstractNum>
  <w:abstractNum w:abstractNumId="14">
    <w:nsid w:val="463C3F05"/>
    <w:multiLevelType w:val="singleLevel"/>
    <w:tmpl w:val="463C3F05"/>
    <w:lvl w:ilvl="0" w:tentative="0">
      <w:start w:val="1"/>
      <w:numFmt w:val="decimal"/>
      <w:lvlText w:val="%1."/>
      <w:lvlJc w:val="left"/>
      <w:pPr>
        <w:ind w:left="425" w:hanging="425"/>
      </w:pPr>
      <w:rPr>
        <w:rFonts w:hint="default"/>
      </w:rPr>
    </w:lvl>
  </w:abstractNum>
  <w:abstractNum w:abstractNumId="15">
    <w:nsid w:val="4F337D41"/>
    <w:multiLevelType w:val="singleLevel"/>
    <w:tmpl w:val="4F337D41"/>
    <w:lvl w:ilvl="0" w:tentative="0">
      <w:start w:val="1"/>
      <w:numFmt w:val="decimal"/>
      <w:lvlText w:val="%1."/>
      <w:lvlJc w:val="left"/>
      <w:pPr>
        <w:ind w:left="425" w:hanging="425"/>
      </w:pPr>
      <w:rPr>
        <w:rFonts w:hint="default"/>
      </w:rPr>
    </w:lvl>
  </w:abstractNum>
  <w:abstractNum w:abstractNumId="16">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AA21EBA"/>
    <w:multiLevelType w:val="singleLevel"/>
    <w:tmpl w:val="5AA21EBA"/>
    <w:lvl w:ilvl="0" w:tentative="0">
      <w:start w:val="1"/>
      <w:numFmt w:val="decimal"/>
      <w:lvlText w:val="%1."/>
      <w:lvlJc w:val="left"/>
      <w:pPr>
        <w:ind w:left="425" w:hanging="425"/>
      </w:pPr>
      <w:rPr>
        <w:rFonts w:hint="default"/>
      </w:rPr>
    </w:lvl>
  </w:abstractNum>
  <w:abstractNum w:abstractNumId="18">
    <w:nsid w:val="75F11A84"/>
    <w:multiLevelType w:val="singleLevel"/>
    <w:tmpl w:val="75F11A84"/>
    <w:lvl w:ilvl="0" w:tentative="0">
      <w:start w:val="1"/>
      <w:numFmt w:val="chineseCounting"/>
      <w:suff w:val="nothing"/>
      <w:lvlText w:val="%1、"/>
      <w:lvlJc w:val="left"/>
      <w:pPr>
        <w:ind w:left="0" w:firstLine="420"/>
      </w:pPr>
      <w:rPr>
        <w:rFonts w:hint="eastAsia"/>
      </w:rPr>
    </w:lvl>
  </w:abstractNum>
  <w:abstractNum w:abstractNumId="19">
    <w:nsid w:val="7B5DDE42"/>
    <w:multiLevelType w:val="singleLevel"/>
    <w:tmpl w:val="7B5DDE42"/>
    <w:lvl w:ilvl="0" w:tentative="0">
      <w:start w:val="1"/>
      <w:numFmt w:val="decimal"/>
      <w:lvlText w:val="%1."/>
      <w:lvlJc w:val="left"/>
      <w:pPr>
        <w:ind w:left="425" w:hanging="425"/>
      </w:pPr>
      <w:rPr>
        <w:rFonts w:hint="default"/>
      </w:rPr>
    </w:lvl>
  </w:abstractNum>
  <w:abstractNum w:abstractNumId="20">
    <w:nsid w:val="7F48D7FF"/>
    <w:multiLevelType w:val="singleLevel"/>
    <w:tmpl w:val="7F48D7FF"/>
    <w:lvl w:ilvl="0" w:tentative="0">
      <w:start w:val="1"/>
      <w:numFmt w:val="decimal"/>
      <w:lvlText w:val="%1."/>
      <w:lvlJc w:val="left"/>
      <w:pPr>
        <w:ind w:left="425" w:hanging="425"/>
      </w:pPr>
      <w:rPr>
        <w:rFonts w:hint="default"/>
      </w:rPr>
    </w:lvl>
  </w:abstractNum>
  <w:num w:numId="1">
    <w:abstractNumId w:val="16"/>
  </w:num>
  <w:num w:numId="2">
    <w:abstractNumId w:val="7"/>
  </w:num>
  <w:num w:numId="3">
    <w:abstractNumId w:val="12"/>
  </w:num>
  <w:num w:numId="4">
    <w:abstractNumId w:val="10"/>
  </w:num>
  <w:num w:numId="5">
    <w:abstractNumId w:val="13"/>
  </w:num>
  <w:num w:numId="6">
    <w:abstractNumId w:val="6"/>
  </w:num>
  <w:num w:numId="7">
    <w:abstractNumId w:val="1"/>
  </w:num>
  <w:num w:numId="8">
    <w:abstractNumId w:val="9"/>
  </w:num>
  <w:num w:numId="9">
    <w:abstractNumId w:val="14"/>
  </w:num>
  <w:num w:numId="10">
    <w:abstractNumId w:val="15"/>
  </w:num>
  <w:num w:numId="11">
    <w:abstractNumId w:val="2"/>
  </w:num>
  <w:num w:numId="12">
    <w:abstractNumId w:val="3"/>
  </w:num>
  <w:num w:numId="13">
    <w:abstractNumId w:val="19"/>
  </w:num>
  <w:num w:numId="14">
    <w:abstractNumId w:val="0"/>
  </w:num>
  <w:num w:numId="15">
    <w:abstractNumId w:val="11"/>
  </w:num>
  <w:num w:numId="16">
    <w:abstractNumId w:val="18"/>
  </w:num>
  <w:num w:numId="17">
    <w:abstractNumId w:val="20"/>
  </w:num>
  <w:num w:numId="18">
    <w:abstractNumId w:val="5"/>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63E04"/>
    <w:rsid w:val="6196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Hyperlink"/>
    <w:uiPriority w:val="0"/>
    <w:rPr>
      <w:color w:val="0000FF"/>
      <w:u w:val="single"/>
    </w:rPr>
  </w:style>
  <w:style w:type="paragraph" w:styleId="7">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2021-12-02T13:34:00Z</dcterms:created>
  <dc:creator>强思企管婷婷（渠道报单）</dc:creator>
  <cp:lastModifiedBy>强思企管婷婷（渠道报单）</cp:lastModifiedBy>
  <dcterms:modified xsi:type="dcterms:W3CDTF">2021-12-02T13:35:17Z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B806BC02071C4755818C740CD741CB5B</vt:lpwstr>
  </property>
</Properties>
</file>