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bookmarkStart w:id="1" w:name="_GoBack"/>
      <w:r>
        <w:rPr>
          <w:rFonts w:hint="eastAsia" w:ascii="微软雅黑" w:hAnsi="微软雅黑" w:eastAsia="微软雅黑" w:cs="微软雅黑"/>
          <w:b/>
          <w:color w:val="0000FF"/>
          <w:sz w:val="44"/>
        </w:rPr>
        <w:t>机械安全/电气安全/上锁挂牌</w:t>
      </w:r>
    </w:p>
    <w:bookmarkEnd w:id="1"/>
    <w:p>
      <w:pPr>
        <w:spacing w:line="46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Cs w:val="21"/>
        </w:rPr>
        <w:t>2022年8月11~12日（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四~星期五）/上 海</w:t>
      </w:r>
    </w:p>
    <w:p>
      <w:pPr>
        <w:spacing w:line="46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4000</w:t>
      </w:r>
      <w:r>
        <w:rPr>
          <w:rFonts w:eastAsia="微软雅黑"/>
          <w:b/>
          <w:szCs w:val="21"/>
        </w:rPr>
        <w:t>/人</w:t>
      </w:r>
    </w:p>
    <w:p>
      <w:pPr>
        <w:numPr>
          <w:ilvl w:val="0"/>
          <w:numId w:val="1"/>
        </w:numPr>
        <w:spacing w:line="460" w:lineRule="exac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60" w:lineRule="exact"/>
        <w:textAlignment w:val="baseline"/>
        <w:rPr>
          <w:rFonts w:hint="eastAsia" w:eastAsia="微软雅黑"/>
          <w:b/>
          <w:i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</w:rPr>
        <w:t>不包含学员往返培训场地的交通费用、住宿费用，早餐及晚餐 </w:t>
      </w:r>
    </w:p>
    <w:p>
      <w:pPr>
        <w:spacing w:line="46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tabs>
          <w:tab w:val="left" w:pos="3186"/>
        </w:tabs>
        <w:spacing w:line="46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课程系统化、内容简单而有效、深入简出、引人入胜、注重实际操作、突出实战性、理顺思维并系统化传授最新，不仅使学员们很好的融入，同时感受到轻松愉快的课堂气氛，更能使学员们真正学到所需的知识</w:t>
      </w:r>
      <w:r>
        <w:rPr>
          <w:rFonts w:hint="eastAsia" w:eastAsia="微软雅黑"/>
          <w:color w:val="000000"/>
          <w:szCs w:val="21"/>
        </w:rPr>
        <w:t>！</w:t>
      </w:r>
    </w:p>
    <w:p>
      <w:pPr>
        <w:spacing w:line="460" w:lineRule="exact"/>
        <w:rPr>
          <w:rFonts w:eastAsia="微软雅黑"/>
          <w:b/>
          <w:bCs/>
          <w:i/>
          <w:i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numPr>
          <w:ilvl w:val="0"/>
          <w:numId w:val="2"/>
        </w:numPr>
        <w:spacing w:line="460" w:lineRule="exact"/>
        <w:ind w:firstLine="0"/>
        <w:rPr>
          <w:rFonts w:eastAsia="微软雅黑"/>
          <w:szCs w:val="21"/>
        </w:rPr>
      </w:pPr>
      <w:r>
        <w:rPr>
          <w:rFonts w:eastAsia="微软雅黑"/>
          <w:b/>
          <w:bCs/>
          <w:sz w:val="24"/>
        </w:rPr>
        <w:t>机械安全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机器安全的危害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设备防护罩的完好是谁责任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常见于设备有关事故的原因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设备/机械危险发生的地方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发生危险的操作操作点举例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发生危险的活动部件举例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发生危险的卷入点举例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练习：哪些地方应该有防护罩？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设备防护罩应该关注的5个点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设备防护罩的一般要求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固定防护罩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连锁防护罩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可调防护罩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自动调节防护罩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安全装置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防护门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手持工具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防护罩整改举例</w:t>
      </w:r>
    </w:p>
    <w:p>
      <w:pPr>
        <w:numPr>
          <w:ilvl w:val="0"/>
          <w:numId w:val="3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防护罩培训目标</w:t>
      </w:r>
    </w:p>
    <w:p>
      <w:pPr>
        <w:numPr>
          <w:ilvl w:val="0"/>
          <w:numId w:val="2"/>
        </w:numPr>
        <w:spacing w:line="460" w:lineRule="exact"/>
        <w:ind w:firstLine="0"/>
        <w:rPr>
          <w:rFonts w:eastAsia="微软雅黑"/>
          <w:szCs w:val="21"/>
        </w:rPr>
      </w:pPr>
      <w:r>
        <w:rPr>
          <w:rFonts w:eastAsia="微软雅黑"/>
          <w:b/>
          <w:bCs/>
          <w:sz w:val="24"/>
        </w:rPr>
        <w:t>电气安全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为什么电流对人体有伤害?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电流对人体有哪些伤害?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法律法规对电气安全的要求？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用电安全警示标识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用电危险评估范围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接近边界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电流经过人体可能的路径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电击防护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电弧危害</w:t>
      </w:r>
      <w:r>
        <w:rPr>
          <w:rFonts w:hint="eastAsia" w:eastAsia="微软雅黑"/>
          <w:szCs w:val="21"/>
        </w:rPr>
        <w:tab/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电弧烧伤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电弧爆炸</w:t>
      </w:r>
    </w:p>
    <w:p>
      <w:pPr>
        <w:numPr>
          <w:ilvl w:val="0"/>
          <w:numId w:val="4"/>
        </w:numPr>
        <w:spacing w:line="46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防电PPE的选择</w:t>
      </w:r>
    </w:p>
    <w:p>
      <w:pPr>
        <w:numPr>
          <w:ilvl w:val="0"/>
          <w:numId w:val="4"/>
        </w:numPr>
        <w:spacing w:line="460" w:lineRule="exact"/>
        <w:rPr>
          <w:rFonts w:hint="eastAsia" w:eastAsia="微软雅黑"/>
          <w:szCs w:val="21"/>
        </w:rPr>
      </w:pPr>
      <w:r>
        <w:rPr>
          <w:rFonts w:eastAsia="微软雅黑"/>
          <w:szCs w:val="21"/>
        </w:rPr>
        <w:t>防电个人防护装备的维护保养</w:t>
      </w:r>
    </w:p>
    <w:p>
      <w:pPr>
        <w:numPr>
          <w:ilvl w:val="0"/>
          <w:numId w:val="2"/>
        </w:numPr>
        <w:spacing w:line="460" w:lineRule="exact"/>
        <w:ind w:firstLine="0"/>
        <w:rPr>
          <w:rFonts w:eastAsia="微软雅黑"/>
          <w:b/>
          <w:bCs/>
          <w:sz w:val="24"/>
        </w:rPr>
      </w:pPr>
      <w:r>
        <w:rPr>
          <w:rFonts w:hint="eastAsia" w:eastAsia="微软雅黑"/>
          <w:b/>
          <w:bCs/>
          <w:sz w:val="24"/>
        </w:rPr>
        <w:t>上锁挂牌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为什么要执行LOTO程序?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外部事故教训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内部事故介绍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法律法规要求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什么是上锁挂牌程序?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什么是上锁挂牌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上锁挂牌相关定义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危险能源及能源隔离装置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上锁挂牌程序标牌及标签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上锁挂牌装置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谁来执行上锁挂牌程序?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影响人员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人员职责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何时何地执行上锁挂牌?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如何进行上锁挂牌?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上锁挂牌操作的9大步骤 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特殊情况的处理</w:t>
      </w:r>
    </w:p>
    <w:p>
      <w:pPr>
        <w:numPr>
          <w:ilvl w:val="0"/>
          <w:numId w:val="5"/>
        </w:numPr>
        <w:spacing w:line="460" w:lineRule="exac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总结 及LOTO与设备防护的关系</w:t>
      </w:r>
    </w:p>
    <w:p>
      <w:pPr>
        <w:tabs>
          <w:tab w:val="left" w:pos="3186"/>
        </w:tabs>
        <w:spacing w:line="46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tabs>
          <w:tab w:val="left" w:pos="3186"/>
        </w:tabs>
        <w:spacing w:line="460" w:lineRule="exact"/>
        <w:rPr>
          <w:rFonts w:hint="eastAsia" w:eastAsia="微软雅黑"/>
          <w:b/>
          <w:bCs/>
          <w:i/>
          <w:iCs/>
          <w:color w:val="00000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吴老师</w:t>
      </w:r>
    </w:p>
    <w:p>
      <w:pPr>
        <w:tabs>
          <w:tab w:val="left" w:pos="3186"/>
        </w:tabs>
        <w:spacing w:line="46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世界500强欧、美企业EHS部及厂务部资深经理、EHS管理专家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环境工程学士学位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安全工程硕士学位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十三年以上美、德、英、法等世界500强欧美EHS管理工作经验；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八年以上厂务设备、设施管理工作经验；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资深EHS管理体系培训师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精益生产资深讲师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国家注册安全工程师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CCAA注册OHSAS18001审核员证书。</w:t>
      </w:r>
    </w:p>
    <w:p>
      <w:pPr>
        <w:pStyle w:val="7"/>
        <w:numPr>
          <w:ilvl w:val="0"/>
          <w:numId w:val="6"/>
        </w:numPr>
        <w:tabs>
          <w:tab w:val="left" w:pos="420"/>
          <w:tab w:val="left" w:pos="840"/>
        </w:tabs>
        <w:spacing w:line="460" w:lineRule="exact"/>
        <w:ind w:firstLineChars="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苏州市工业园区安全生产管理资格证书培训特约讲师。</w:t>
      </w:r>
    </w:p>
    <w:p>
      <w:pPr>
        <w:tabs>
          <w:tab w:val="left" w:pos="3186"/>
        </w:tabs>
        <w:spacing w:line="46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78263542"/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客户</w:t>
      </w:r>
      <w:bookmarkEnd w:id="0"/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评价：</w:t>
      </w:r>
    </w:p>
    <w:p>
      <w:pPr>
        <w:tabs>
          <w:tab w:val="left" w:pos="3186"/>
        </w:tabs>
        <w:spacing w:line="46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平均培训满意度97%以上，学员们全神投入，给了我们全新的对于安全管理的理解。</w:t>
      </w:r>
    </w:p>
    <w:p>
      <w:pPr>
        <w:spacing w:line="460" w:lineRule="exact"/>
        <w:ind w:firstLine="5460" w:firstLineChars="2600"/>
        <w:jc w:val="righ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—— LG电子（昆山）</w:t>
      </w:r>
    </w:p>
    <w:p>
      <w:pPr>
        <w:tabs>
          <w:tab w:val="left" w:pos="3186"/>
        </w:tabs>
        <w:spacing w:line="460" w:lineRule="exact"/>
        <w:ind w:firstLine="420" w:firstLineChars="200"/>
        <w:rPr>
          <w:rFonts w:hint="eastAsia"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所提到的案例极具代表性，对工作中存在的一些问题有指导作用。  </w:t>
      </w:r>
      <w:r>
        <w:rPr>
          <w:rFonts w:hint="eastAsia" w:eastAsia="微软雅黑"/>
          <w:color w:val="000000"/>
          <w:szCs w:val="21"/>
        </w:rPr>
        <w:t xml:space="preserve">         </w:t>
      </w:r>
    </w:p>
    <w:p>
      <w:pPr>
        <w:tabs>
          <w:tab w:val="left" w:pos="3186"/>
        </w:tabs>
        <w:spacing w:line="460" w:lineRule="exact"/>
        <w:ind w:firstLine="420" w:firstLineChars="200"/>
        <w:jc w:val="right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 xml:space="preserve">  </w:t>
      </w:r>
      <w:r>
        <w:rPr>
          <w:rFonts w:eastAsia="微软雅黑"/>
          <w:color w:val="000000"/>
          <w:szCs w:val="21"/>
        </w:rPr>
        <w:t>——普派包装（苏州）</w:t>
      </w:r>
    </w:p>
    <w:p>
      <w:pPr>
        <w:spacing w:line="460" w:lineRule="exact"/>
        <w:rPr>
          <w:rFonts w:eastAsia="微软雅黑"/>
          <w:color w:val="000000"/>
          <w:szCs w:val="21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经典客户：</w:t>
      </w:r>
    </w:p>
    <w:p>
      <w:pPr>
        <w:spacing w:line="460" w:lineRule="exact"/>
        <w:ind w:firstLine="420" w:firstLineChars="200"/>
        <w:rPr>
          <w:rFonts w:hint="eastAsia" w:eastAsia="微软雅黑"/>
          <w:kern w:val="0"/>
          <w:szCs w:val="21"/>
          <w:lang w:bidi="ar"/>
        </w:rPr>
      </w:pPr>
      <w:r>
        <w:rPr>
          <w:rFonts w:eastAsia="微软雅黑"/>
          <w:szCs w:val="21"/>
        </w:rPr>
        <w:t>西门子</w:t>
      </w:r>
      <w:r>
        <w:rPr>
          <w:rFonts w:eastAsia="微软雅黑"/>
          <w:color w:val="000000"/>
          <w:szCs w:val="21"/>
        </w:rPr>
        <w:t>医疗、富尔美纺织、普派包装、LG电子、丹纳赫、波尔威、沃得重工、艾默生、江山制药、太钢集团、维苏威等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072B1"/>
    <w:multiLevelType w:val="singleLevel"/>
    <w:tmpl w:val="0DB072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BA2F9A"/>
    <w:multiLevelType w:val="singleLevel"/>
    <w:tmpl w:val="15BA2F9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4B3291C"/>
    <w:multiLevelType w:val="singleLevel"/>
    <w:tmpl w:val="54B3291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4B3296F"/>
    <w:multiLevelType w:val="singleLevel"/>
    <w:tmpl w:val="54B3296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4B329A6"/>
    <w:multiLevelType w:val="singleLevel"/>
    <w:tmpl w:val="54B329A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554D"/>
    <w:rsid w:val="6FA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2021-12-09T09:20:00Z</dcterms:created>
  <dc:creator>强思企管婷婷（渠道报单）</dc:creator>
  <cp:lastModifiedBy>强思企管婷婷（渠道报单）</cp:lastModifiedBy>
  <dcterms:modified xsi:type="dcterms:W3CDTF">2021-12-09T09:21:33Z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3F8338A9AE3F4784BFCB4073C9A69FF2</vt:lpwstr>
  </property>
</Properties>
</file>