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r>
        <w:rPr>
          <w:rFonts w:hint="eastAsia" w:ascii="微软雅黑" w:hAnsi="微软雅黑" w:eastAsia="微软雅黑" w:cs="微软雅黑"/>
          <w:b/>
          <w:color w:val="0000FF"/>
          <w:sz w:val="44"/>
        </w:rPr>
        <w:t>承包商管理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bookmarkStart w:id="1" w:name="_GoBack"/>
      <w:r>
        <w:rPr>
          <w:rFonts w:hint="eastAsia" w:eastAsia="微软雅黑"/>
          <w:b/>
          <w:szCs w:val="21"/>
          <w:lang w:val="en-US" w:eastAsia="zh-CN"/>
        </w:rPr>
        <w:t>8</w:t>
      </w:r>
      <w:r>
        <w:rPr>
          <w:rFonts w:hint="eastAsia" w:eastAsia="微软雅黑"/>
          <w:b/>
          <w:szCs w:val="21"/>
        </w:rPr>
        <w:t>月1</w:t>
      </w:r>
      <w:r>
        <w:rPr>
          <w:rFonts w:hint="eastAsia" w:eastAsia="微软雅黑"/>
          <w:b/>
          <w:szCs w:val="21"/>
          <w:lang w:val="en-US" w:eastAsia="zh-CN"/>
        </w:rPr>
        <w:t>3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eastAsia="zh-CN"/>
        </w:rPr>
        <w:t>六</w:t>
      </w:r>
      <w:r>
        <w:rPr>
          <w:rFonts w:hint="eastAsia" w:eastAsia="微软雅黑"/>
          <w:b/>
          <w:szCs w:val="21"/>
        </w:rPr>
        <w:t>）/上 海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</w:rPr>
        <w:t>2</w:t>
      </w:r>
      <w:r>
        <w:rPr>
          <w:rFonts w:hint="eastAsia" w:eastAsia="微软雅黑"/>
          <w:b/>
          <w:szCs w:val="21"/>
          <w:lang w:val="en-US" w:eastAsia="zh-CN"/>
        </w:rPr>
        <w:t>0</w:t>
      </w:r>
      <w:r>
        <w:rPr>
          <w:rFonts w:eastAsia="微软雅黑"/>
          <w:b/>
          <w:szCs w:val="21"/>
        </w:rPr>
        <w:t>00/人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eastAsia="微软雅黑"/>
          <w:szCs w:val="21"/>
          <w:lang w:eastAsia="zh-CN"/>
        </w:rPr>
      </w:pPr>
      <w:r>
        <w:rPr>
          <w:rFonts w:eastAsia="微软雅黑"/>
          <w:color w:val="000000"/>
          <w:szCs w:val="2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微软雅黑"/>
          <w:color w:val="000000"/>
          <w:szCs w:val="21"/>
          <w:shd w:val="clear" w:color="auto" w:fill="FFFFFF"/>
        </w:rPr>
        <w:t>一、</w:t>
      </w:r>
      <w:r>
        <w:rPr>
          <w:rFonts w:ascii="Times New Roman" w:hAnsi="Times New Roman" w:eastAsia="微软雅黑"/>
          <w:color w:val="000000"/>
          <w:szCs w:val="21"/>
          <w:shd w:val="clear" w:color="auto" w:fill="FFFFFF"/>
        </w:rPr>
        <w:t>大数据下的承包商安全管理的重要性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hint="eastAsia" w:ascii="Times New Roman" w:hAnsi="Times New Roman" w:eastAsia="微软雅黑"/>
          <w:color w:val="000000"/>
          <w:szCs w:val="21"/>
          <w:shd w:val="clear" w:color="auto" w:fill="FFFFFF"/>
        </w:rPr>
        <w:t>二、</w:t>
      </w:r>
      <w:r>
        <w:rPr>
          <w:rFonts w:ascii="Times New Roman" w:hAnsi="Times New Roman" w:eastAsia="微软雅黑"/>
          <w:color w:val="000000"/>
          <w:szCs w:val="21"/>
          <w:shd w:val="clear" w:color="auto" w:fill="FFFFFF"/>
        </w:rPr>
        <w:t>承包商的安全管理模式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制定承包商管理规则：基本管理规定、处罚制度、应急预案等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firstLine="0"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课堂讨论：承包商 管理规定的关键问题点有哪些？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承包商安全管理的组织结构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hint="eastAsia" w:ascii="Times New Roman" w:hAnsi="Times New Roman" w:eastAsia="微软雅黑"/>
          <w:bCs/>
          <w:color w:val="000000"/>
          <w:szCs w:val="21"/>
        </w:rPr>
        <w:t>三、</w:t>
      </w:r>
      <w:r>
        <w:rPr>
          <w:rFonts w:ascii="Times New Roman" w:hAnsi="Times New Roman" w:eastAsia="微软雅黑"/>
          <w:bCs/>
          <w:color w:val="000000"/>
          <w:szCs w:val="21"/>
        </w:rPr>
        <w:t>选择合格的承包商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承包商资质的认定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承包商工作现场的评估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风险评估、作业安全分析及施工安全方案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课堂讨论：承包商选择过程中，安全管理人员的权重及决策权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hint="eastAsia" w:ascii="Times New Roman" w:hAnsi="Times New Roman" w:eastAsia="微软雅黑"/>
          <w:bCs/>
          <w:color w:val="000000"/>
          <w:szCs w:val="21"/>
        </w:rPr>
        <w:t>四、</w:t>
      </w:r>
      <w:r>
        <w:rPr>
          <w:rFonts w:ascii="Times New Roman" w:hAnsi="Times New Roman" w:eastAsia="微软雅黑"/>
          <w:bCs/>
          <w:color w:val="000000"/>
          <w:szCs w:val="21"/>
        </w:rPr>
        <w:t>合同的准备及安全合同约束要求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hint="eastAsia" w:ascii="Times New Roman" w:hAnsi="Times New Roman" w:eastAsia="微软雅黑"/>
          <w:bCs/>
          <w:color w:val="000000"/>
          <w:szCs w:val="21"/>
        </w:rPr>
        <w:t>五、</w:t>
      </w:r>
      <w:r>
        <w:rPr>
          <w:rFonts w:ascii="Times New Roman" w:hAnsi="Times New Roman" w:eastAsia="微软雅黑"/>
          <w:bCs/>
          <w:color w:val="000000"/>
          <w:szCs w:val="21"/>
        </w:rPr>
        <w:t>现场安全管理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承包商安全培训与认证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项目实施现场的监督管理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 xml:space="preserve">定期项目安全会议 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高风险作业安全管理要点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项目实施现场的审核与检查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应急响应、事故报告及调查处理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环境管理及消防管理要点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hint="eastAsia" w:ascii="Times New Roman" w:hAnsi="Times New Roman" w:eastAsia="微软雅黑"/>
          <w:bCs/>
          <w:color w:val="000000"/>
          <w:szCs w:val="21"/>
        </w:rPr>
        <w:t>六、</w:t>
      </w:r>
      <w:r>
        <w:rPr>
          <w:rFonts w:ascii="Times New Roman" w:hAnsi="Times New Roman" w:eastAsia="微软雅黑"/>
          <w:bCs/>
          <w:color w:val="000000"/>
          <w:szCs w:val="21"/>
        </w:rPr>
        <w:t>承包商安全评审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承包商安全绩效评估工具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承包商安全绩效评估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合格供应商及人员清单体系建议及维护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hint="eastAsia" w:ascii="Times New Roman" w:hAnsi="Times New Roman" w:eastAsia="微软雅黑"/>
          <w:bCs/>
          <w:color w:val="000000"/>
          <w:szCs w:val="21"/>
        </w:rPr>
        <w:t>七、</w:t>
      </w:r>
      <w:r>
        <w:rPr>
          <w:rFonts w:ascii="Times New Roman" w:hAnsi="Times New Roman" w:eastAsia="微软雅黑"/>
          <w:bCs/>
          <w:color w:val="000000"/>
          <w:szCs w:val="21"/>
        </w:rPr>
        <w:t>引导式培训及研讨：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bCs/>
          <w:color w:val="000000"/>
          <w:szCs w:val="21"/>
        </w:rPr>
        <w:t>承包商安全管理的难点、痛点及应对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Times New Roman" w:hAnsi="Times New Roman" w:eastAsia="微软雅黑"/>
          <w:color w:val="000000"/>
          <w:szCs w:val="21"/>
        </w:rPr>
      </w:pPr>
      <w:r>
        <w:rPr>
          <w:rFonts w:ascii="Times New Roman" w:hAnsi="Times New Roman" w:eastAsia="微软雅黑"/>
          <w:color w:val="000000"/>
          <w:szCs w:val="21"/>
        </w:rPr>
        <w:t>点评、汇总交流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hint="eastAsia" w:ascii="Times New Roman" w:hAnsi="Times New Roman" w:eastAsia="微软雅黑"/>
          <w:szCs w:val="21"/>
        </w:rPr>
        <w:t>八、</w:t>
      </w:r>
      <w:r>
        <w:rPr>
          <w:rFonts w:ascii="Times New Roman" w:hAnsi="Times New Roman" w:eastAsia="微软雅黑"/>
          <w:szCs w:val="21"/>
        </w:rPr>
        <w:t>课程的概述与总结</w:t>
      </w:r>
    </w:p>
    <w:p>
      <w:pPr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b/>
          <w:bCs/>
          <w:i/>
          <w:iCs/>
          <w:color w:val="00000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吴老师</w:t>
      </w:r>
    </w:p>
    <w:p>
      <w:pPr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世界500强欧、美企业EHS部及厂务部资深经理、EHS管理专家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环境工程学士学位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安全工程硕士学位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十三年以上美、德、英、法等世界500强欧美EHS管理工作经验；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八年以上厂务设备、设施管理工作经验；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资深EHS管理体系培训师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精益生产资深讲师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国家注册安全工程师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CCAA注册OHSAS18001审核员证书。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苏州市工业园区安全生产管理资格证书培训特约讲师。</w:t>
      </w:r>
    </w:p>
    <w:p>
      <w:pPr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78263542"/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客户</w:t>
      </w:r>
      <w:bookmarkEnd w:id="0"/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评价：</w:t>
      </w:r>
    </w:p>
    <w:p>
      <w:pPr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平均培训满意度97%以上，学员们全神投入，给了我们全新的对于安全管理的理解。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60" w:firstLineChars="2600"/>
        <w:jc w:val="righ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—— LG电子（昆山）</w:t>
      </w:r>
    </w:p>
    <w:p>
      <w:pPr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所提到的案例极具代表性，对工作中存在的一些问题有指导作用。  </w:t>
      </w:r>
      <w:r>
        <w:rPr>
          <w:rFonts w:hint="eastAsia" w:eastAsia="微软雅黑"/>
          <w:color w:val="000000"/>
          <w:szCs w:val="21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right"/>
        <w:textAlignment w:val="auto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 xml:space="preserve">  </w:t>
      </w:r>
      <w:r>
        <w:rPr>
          <w:rFonts w:eastAsia="微软雅黑"/>
          <w:color w:val="000000"/>
          <w:szCs w:val="21"/>
        </w:rPr>
        <w:t>——普派包装（苏州）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微软雅黑"/>
          <w:color w:val="000000"/>
          <w:szCs w:val="21"/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经典客户：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</w:pPr>
      <w:r>
        <w:rPr>
          <w:rFonts w:eastAsia="微软雅黑"/>
          <w:szCs w:val="21"/>
        </w:rPr>
        <w:t>西门子</w:t>
      </w:r>
      <w:r>
        <w:rPr>
          <w:rFonts w:eastAsia="微软雅黑"/>
          <w:color w:val="000000"/>
          <w:szCs w:val="21"/>
        </w:rPr>
        <w:t>医疗、富尔美纺织、普派包装、LG电子、丹纳赫、波尔威、沃得重工、艾默生、江山制药、太钢集团、维苏威等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072B1"/>
    <w:multiLevelType w:val="singleLevel"/>
    <w:tmpl w:val="0DB072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23C29BA"/>
    <w:multiLevelType w:val="multilevel"/>
    <w:tmpl w:val="123C29BA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2EF6B68"/>
    <w:multiLevelType w:val="multilevel"/>
    <w:tmpl w:val="22EF6B68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8C258F2"/>
    <w:multiLevelType w:val="multilevel"/>
    <w:tmpl w:val="58C258F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BC46095"/>
    <w:multiLevelType w:val="multilevel"/>
    <w:tmpl w:val="7BC46095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7D160463"/>
    <w:multiLevelType w:val="multilevel"/>
    <w:tmpl w:val="7D160463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D3018"/>
    <w:rsid w:val="29E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2021-12-09T08:59:00Z</dcterms:created>
  <dc:creator>强思企管婷婷（渠道报单）</dc:creator>
  <cp:lastModifiedBy>强思企管婷婷（渠道报单）</cp:lastModifiedBy>
  <dcterms:modified xsi:type="dcterms:W3CDTF">2021-12-09T09:00:59Z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BDC73178A2924FE285552210FCC3D524</vt:lpwstr>
  </property>
</Properties>
</file>