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eastAsia="宋体" w:cs="Times New Roman"/>
          <w:lang w:val="en-US" w:eastAsia="zh-CN"/>
        </w:rPr>
      </w:pPr>
      <w:r>
        <w:rPr>
          <w:rFonts w:hint="eastAsia" w:cs="宋体"/>
        </w:rPr>
        <w:t>非财务经理的财务课程</w:t>
      </w:r>
      <w:r>
        <w:rPr>
          <w:rFonts w:hint="eastAsia" w:cs="宋体"/>
          <w:lang w:val="en-US" w:eastAsia="zh-CN"/>
        </w:rPr>
        <w:t>2022计</w:t>
      </w:r>
      <w:bookmarkStart w:id="0" w:name="_GoBack"/>
      <w:bookmarkEnd w:id="0"/>
      <w:r>
        <w:rPr>
          <w:rFonts w:hint="eastAsia" w:cs="宋体"/>
          <w:lang w:val="en-US" w:eastAsia="zh-CN"/>
        </w:rPr>
        <w:t>划</w:t>
      </w:r>
    </w:p>
    <w:p>
      <w:pPr>
        <w:spacing w:line="276" w:lineRule="auto"/>
        <w:jc w:val="left"/>
        <w:rPr>
          <w:rFonts w:hint="eastAsia" w:eastAsia="微软雅黑" w:cs="微软雅黑"/>
          <w:b/>
          <w:bCs/>
          <w:sz w:val="24"/>
          <w:szCs w:val="24"/>
        </w:rPr>
      </w:pPr>
      <w:r>
        <w:rPr>
          <w:rFonts w:hint="eastAsia" w:ascii="仿宋" w:hAnsi="仿宋" w:eastAsia="微软雅黑" w:cs="微软雅黑"/>
          <w:b/>
          <w:bCs/>
          <w:sz w:val="24"/>
          <w:szCs w:val="24"/>
        </w:rPr>
        <w:t>课程</w:t>
      </w:r>
      <w:r>
        <w:rPr>
          <w:rFonts w:hint="eastAsia" w:eastAsia="微软雅黑" w:cs="微软雅黑"/>
          <w:b/>
          <w:bCs/>
          <w:sz w:val="24"/>
          <w:szCs w:val="24"/>
        </w:rPr>
        <w:t>价格：</w:t>
      </w:r>
      <w:r>
        <w:rPr>
          <w:rFonts w:eastAsia="微软雅黑"/>
          <w:b/>
          <w:bCs/>
          <w:sz w:val="24"/>
          <w:szCs w:val="24"/>
        </w:rPr>
        <w:t>4</w:t>
      </w:r>
      <w:r>
        <w:rPr>
          <w:rFonts w:hint="eastAsia" w:eastAsia="微软雅黑"/>
          <w:b/>
          <w:bCs/>
          <w:sz w:val="24"/>
          <w:szCs w:val="24"/>
          <w:lang w:val="en-US" w:eastAsia="zh-CN"/>
        </w:rPr>
        <w:t>8</w:t>
      </w:r>
      <w:r>
        <w:rPr>
          <w:rFonts w:eastAsia="微软雅黑"/>
          <w:b/>
          <w:bCs/>
          <w:sz w:val="24"/>
          <w:szCs w:val="24"/>
        </w:rPr>
        <w:t>80</w:t>
      </w:r>
      <w:r>
        <w:rPr>
          <w:rFonts w:hint="eastAsia" w:eastAsia="微软雅黑" w:cs="微软雅黑"/>
          <w:b/>
          <w:bCs/>
          <w:sz w:val="24"/>
          <w:szCs w:val="24"/>
        </w:rPr>
        <w:t>（</w:t>
      </w:r>
      <w:r>
        <w:rPr>
          <w:rFonts w:hint="eastAsia" w:ascii="微软雅黑" w:hAnsi="微软雅黑" w:eastAsia="微软雅黑" w:cs="微软雅黑"/>
          <w:b/>
          <w:bCs/>
          <w:sz w:val="24"/>
          <w:szCs w:val="24"/>
          <w:lang w:val="zh-CN"/>
        </w:rPr>
        <w:t>含授课费、资料费、午餐费</w:t>
      </w:r>
      <w:r>
        <w:rPr>
          <w:rFonts w:hint="eastAsia" w:eastAsia="微软雅黑" w:cs="微软雅黑"/>
          <w:b/>
          <w:bCs/>
          <w:sz w:val="24"/>
          <w:szCs w:val="24"/>
        </w:rPr>
        <w:t>）</w:t>
      </w:r>
    </w:p>
    <w:tbl>
      <w:tblPr>
        <w:tblStyle w:val="8"/>
        <w:tblW w:w="8970" w:type="dxa"/>
        <w:tblInd w:w="0" w:type="dxa"/>
        <w:shd w:val="clear" w:color="auto" w:fill="auto"/>
        <w:tblLayout w:type="autofit"/>
        <w:tblCellMar>
          <w:top w:w="0" w:type="dxa"/>
          <w:left w:w="0" w:type="dxa"/>
          <w:bottom w:w="0" w:type="dxa"/>
          <w:right w:w="0" w:type="dxa"/>
        </w:tblCellMar>
      </w:tblPr>
      <w:tblGrid>
        <w:gridCol w:w="660"/>
        <w:gridCol w:w="615"/>
        <w:gridCol w:w="555"/>
        <w:gridCol w:w="750"/>
        <w:gridCol w:w="735"/>
        <w:gridCol w:w="735"/>
        <w:gridCol w:w="660"/>
        <w:gridCol w:w="660"/>
        <w:gridCol w:w="660"/>
        <w:gridCol w:w="660"/>
        <w:gridCol w:w="780"/>
        <w:gridCol w:w="750"/>
        <w:gridCol w:w="750"/>
      </w:tblGrid>
      <w:tr>
        <w:tblPrEx>
          <w:shd w:val="clear" w:color="auto" w:fill="auto"/>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地点</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五月</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六月</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七月</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八月</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九月</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十一月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十二月</w:t>
            </w: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14-15</w:t>
            </w:r>
          </w:p>
        </w:tc>
      </w:tr>
    </w:tbl>
    <w:p>
      <w:pPr>
        <w:rPr>
          <w:rFonts w:hint="eastAsia" w:ascii="微软雅黑" w:hAnsi="微软雅黑" w:eastAsia="微软雅黑" w:cs="微软雅黑"/>
          <w:sz w:val="24"/>
          <w:szCs w:val="24"/>
          <w:lang w:eastAsia="zh-CN"/>
        </w:rPr>
      </w:pPr>
    </w:p>
    <w:p>
      <w:pPr>
        <w:pStyle w:val="7"/>
        <w:spacing w:before="0" w:beforeAutospacing="0" w:after="0" w:afterAutospacing="0" w:line="460" w:lineRule="exact"/>
        <w:rPr>
          <w:rFonts w:ascii="微软雅黑" w:hAnsi="微软雅黑" w:eastAsia="微软雅黑" w:cs="Times New Roman"/>
        </w:rPr>
      </w:pPr>
      <w:r>
        <w:rPr>
          <w:rFonts w:hint="eastAsia" w:ascii="微软雅黑" w:hAnsi="微软雅黑" w:eastAsia="微软雅黑" w:cs="微软雅黑"/>
          <w:b/>
          <w:bCs/>
        </w:rPr>
        <w:t>培训受众：</w:t>
      </w:r>
      <w:r>
        <w:rPr>
          <w:rFonts w:hint="eastAsia" w:ascii="微软雅黑" w:hAnsi="微软雅黑" w:eastAsia="微软雅黑" w:cs="微软雅黑"/>
        </w:rPr>
        <w:t>本课程主要针对企业总经理、副总经理，以及企业中、高层管理人员</w:t>
      </w:r>
      <w:r>
        <w:rPr>
          <w:rFonts w:ascii="微软雅黑" w:hAnsi="微软雅黑" w:eastAsia="微软雅黑" w:cs="微软雅黑"/>
        </w:rPr>
        <w:t xml:space="preserve"> /</w:t>
      </w:r>
      <w:r>
        <w:rPr>
          <w:rFonts w:hint="eastAsia" w:ascii="微软雅黑" w:hAnsi="微软雅黑" w:eastAsia="微软雅黑" w:cs="微软雅黑"/>
        </w:rPr>
        <w:t>采购及生产人员，市场，销售与服务人员企业高层管理人员、各个业务部门负责人、企业骨干和有发展潜力的员工</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身为企业中的管理者，如何能从财务的角度把握企业运作的核心，帮助企业走出困境？同时，这门课也将一改财务在参加者心目中深奥、枯燥的印象，让他们体会到财务管理的作用和乐趣。</w:t>
      </w:r>
    </w:p>
    <w:p>
      <w:pPr>
        <w:rPr>
          <w:rFonts w:ascii="微软雅黑" w:hAnsi="微软雅黑" w:eastAsia="微软雅黑" w:cs="微软雅黑"/>
          <w:sz w:val="24"/>
          <w:szCs w:val="24"/>
        </w:rPr>
      </w:pPr>
      <w:r>
        <w:rPr>
          <w:rFonts w:ascii="微软雅黑" w:hAnsi="微软雅黑" w:eastAsia="微软雅黑" w:cs="微软雅黑"/>
          <w:sz w:val="24"/>
          <w:szCs w:val="24"/>
        </w:rPr>
        <w:t xml:space="preserve"> 1.</w:t>
      </w:r>
      <w:r>
        <w:rPr>
          <w:rFonts w:hint="eastAsia" w:ascii="微软雅黑" w:hAnsi="微软雅黑" w:eastAsia="微软雅黑" w:cs="微软雅黑"/>
          <w:sz w:val="24"/>
          <w:szCs w:val="24"/>
        </w:rPr>
        <w:t>掌握基础的财务知识，读懂公司常用财务报表</w:t>
      </w:r>
      <w:r>
        <w:rPr>
          <w:rFonts w:ascii="微软雅黑" w:hAnsi="微软雅黑" w:eastAsia="微软雅黑" w:cs="微软雅黑"/>
          <w:sz w:val="24"/>
          <w:szCs w:val="24"/>
        </w:rPr>
        <w:t xml:space="preserve"> </w:t>
      </w:r>
    </w:p>
    <w:p>
      <w:pPr>
        <w:rPr>
          <w:rFonts w:ascii="微软雅黑" w:hAnsi="微软雅黑" w:eastAsia="微软雅黑" w:cs="微软雅黑"/>
          <w:sz w:val="24"/>
          <w:szCs w:val="24"/>
        </w:rPr>
      </w:pPr>
      <w:r>
        <w:rPr>
          <w:rFonts w:ascii="微软雅黑" w:hAnsi="微软雅黑" w:eastAsia="微软雅黑" w:cs="微软雅黑"/>
          <w:sz w:val="24"/>
          <w:szCs w:val="24"/>
        </w:rPr>
        <w:t xml:space="preserve"> 2.</w:t>
      </w:r>
      <w:r>
        <w:rPr>
          <w:rFonts w:hint="eastAsia" w:ascii="微软雅黑" w:hAnsi="微软雅黑" w:eastAsia="微软雅黑" w:cs="微软雅黑"/>
          <w:sz w:val="24"/>
          <w:szCs w:val="24"/>
        </w:rPr>
        <w:t>理解各部门的经营活动如何影响公司的财务状况</w:t>
      </w:r>
      <w:r>
        <w:rPr>
          <w:rFonts w:ascii="微软雅黑" w:hAnsi="微软雅黑" w:eastAsia="微软雅黑" w:cs="微软雅黑"/>
          <w:sz w:val="24"/>
          <w:szCs w:val="24"/>
        </w:rPr>
        <w:t xml:space="preserve"> </w:t>
      </w:r>
    </w:p>
    <w:p>
      <w:pPr>
        <w:rPr>
          <w:rFonts w:ascii="微软雅黑" w:hAnsi="微软雅黑" w:eastAsia="微软雅黑" w:cs="微软雅黑"/>
          <w:sz w:val="24"/>
          <w:szCs w:val="24"/>
        </w:rPr>
      </w:pPr>
      <w:r>
        <w:rPr>
          <w:rFonts w:ascii="微软雅黑" w:hAnsi="微软雅黑" w:eastAsia="微软雅黑" w:cs="微软雅黑"/>
          <w:sz w:val="24"/>
          <w:szCs w:val="24"/>
        </w:rPr>
        <w:t xml:space="preserve"> 3.</w:t>
      </w:r>
      <w:r>
        <w:rPr>
          <w:rFonts w:hint="eastAsia" w:ascii="微软雅黑" w:hAnsi="微软雅黑" w:eastAsia="微软雅黑" w:cs="微软雅黑"/>
          <w:sz w:val="24"/>
          <w:szCs w:val="24"/>
        </w:rPr>
        <w:t>各部门与财务人员在统一的平台上达成有效沟通</w:t>
      </w:r>
      <w:r>
        <w:rPr>
          <w:rFonts w:ascii="微软雅黑" w:hAnsi="微软雅黑" w:eastAsia="微软雅黑" w:cs="微软雅黑"/>
          <w:sz w:val="24"/>
          <w:szCs w:val="24"/>
        </w:rPr>
        <w:t xml:space="preserve"> </w:t>
      </w:r>
    </w:p>
    <w:p>
      <w:pPr>
        <w:rPr>
          <w:rFonts w:ascii="微软雅黑" w:hAnsi="微软雅黑" w:eastAsia="微软雅黑" w:cs="微软雅黑"/>
          <w:sz w:val="24"/>
          <w:szCs w:val="24"/>
        </w:rPr>
      </w:pPr>
      <w:r>
        <w:rPr>
          <w:rFonts w:ascii="微软雅黑" w:hAnsi="微软雅黑" w:eastAsia="微软雅黑" w:cs="微软雅黑"/>
          <w:sz w:val="24"/>
          <w:szCs w:val="24"/>
        </w:rPr>
        <w:t xml:space="preserve"> 4.</w:t>
      </w:r>
      <w:r>
        <w:rPr>
          <w:rFonts w:hint="eastAsia" w:ascii="微软雅黑" w:hAnsi="微软雅黑" w:eastAsia="微软雅黑" w:cs="微软雅黑"/>
          <w:sz w:val="24"/>
          <w:szCs w:val="24"/>
        </w:rPr>
        <w:t>建立起清晰的成本及风险控制意识、强化现金流意识，提高资金运作效率</w:t>
      </w:r>
      <w:r>
        <w:rPr>
          <w:rFonts w:ascii="微软雅黑" w:hAnsi="微软雅黑" w:eastAsia="微软雅黑" w:cs="微软雅黑"/>
          <w:sz w:val="24"/>
          <w:szCs w:val="24"/>
        </w:rPr>
        <w:t xml:space="preserve"> </w:t>
      </w:r>
    </w:p>
    <w:p>
      <w:pPr>
        <w:rPr>
          <w:rFonts w:ascii="微软雅黑" w:hAnsi="微软雅黑" w:eastAsia="微软雅黑" w:cs="微软雅黑"/>
          <w:sz w:val="24"/>
          <w:szCs w:val="24"/>
        </w:rPr>
      </w:pPr>
      <w:r>
        <w:rPr>
          <w:rFonts w:ascii="微软雅黑" w:hAnsi="微软雅黑" w:eastAsia="微软雅黑" w:cs="微软雅黑"/>
          <w:sz w:val="24"/>
          <w:szCs w:val="24"/>
        </w:rPr>
        <w:t xml:space="preserve"> 5.</w:t>
      </w:r>
      <w:r>
        <w:rPr>
          <w:rFonts w:hint="eastAsia" w:ascii="微软雅黑" w:hAnsi="微软雅黑" w:eastAsia="微软雅黑" w:cs="微软雅黑"/>
          <w:sz w:val="24"/>
          <w:szCs w:val="24"/>
        </w:rPr>
        <w:t>在当前经济危机的大环境下，如何规避企业的财务风险</w:t>
      </w:r>
      <w:r>
        <w:rPr>
          <w:rFonts w:ascii="微软雅黑" w:hAnsi="微软雅黑" w:eastAsia="微软雅黑" w:cs="微软雅黑"/>
          <w:sz w:val="24"/>
          <w:szCs w:val="24"/>
        </w:rPr>
        <w:t xml:space="preserve"> </w:t>
      </w:r>
    </w:p>
    <w:p>
      <w:pPr>
        <w:rPr>
          <w:rFonts w:ascii="微软雅黑" w:hAnsi="微软雅黑" w:eastAsia="微软雅黑" w:cs="微软雅黑"/>
          <w:sz w:val="24"/>
          <w:szCs w:val="24"/>
        </w:rPr>
      </w:pPr>
      <w:r>
        <w:rPr>
          <w:rFonts w:ascii="微软雅黑" w:hAnsi="微软雅黑" w:eastAsia="微软雅黑" w:cs="微软雅黑"/>
          <w:sz w:val="24"/>
          <w:szCs w:val="24"/>
        </w:rPr>
        <w:t xml:space="preserve"> 6.</w:t>
      </w:r>
      <w:r>
        <w:rPr>
          <w:rFonts w:hint="eastAsia" w:ascii="微软雅黑" w:hAnsi="微软雅黑" w:eastAsia="微软雅黑" w:cs="微软雅黑"/>
          <w:sz w:val="24"/>
          <w:szCs w:val="24"/>
        </w:rPr>
        <w:t>学会使用预算等管理工具加强内部管理</w:t>
      </w:r>
      <w:r>
        <w:rPr>
          <w:rFonts w:ascii="微软雅黑" w:hAnsi="微软雅黑" w:eastAsia="微软雅黑" w:cs="微软雅黑"/>
          <w:sz w:val="24"/>
          <w:szCs w:val="24"/>
        </w:rPr>
        <w:t xml:space="preserve"> </w:t>
      </w:r>
    </w:p>
    <w:p>
      <w:pPr>
        <w:rPr>
          <w:rFonts w:ascii="微软雅黑" w:hAnsi="微软雅黑" w:eastAsia="微软雅黑" w:cs="Times New Roman"/>
          <w:sz w:val="24"/>
          <w:szCs w:val="24"/>
        </w:rPr>
      </w:pPr>
      <w:r>
        <w:rPr>
          <w:rFonts w:ascii="微软雅黑" w:hAnsi="微软雅黑" w:eastAsia="微软雅黑" w:cs="微软雅黑"/>
          <w:sz w:val="24"/>
          <w:szCs w:val="24"/>
        </w:rPr>
        <w:t xml:space="preserve"> 7.</w:t>
      </w:r>
      <w:r>
        <w:rPr>
          <w:rFonts w:hint="eastAsia" w:ascii="微软雅黑" w:hAnsi="微软雅黑" w:eastAsia="微软雅黑" w:cs="微软雅黑"/>
          <w:sz w:val="24"/>
          <w:szCs w:val="24"/>
        </w:rPr>
        <w:t>运用财务思维解读企业运作，并有效提升工作绩效</w:t>
      </w:r>
    </w:p>
    <w:p>
      <w:pPr>
        <w:rPr>
          <w:rFonts w:ascii="微软雅黑" w:hAnsi="微软雅黑" w:eastAsia="微软雅黑" w:cs="Times New Roman"/>
          <w:b/>
          <w:bCs/>
          <w:sz w:val="24"/>
          <w:szCs w:val="24"/>
        </w:rPr>
      </w:pPr>
      <w:r>
        <w:rPr>
          <w:rFonts w:hint="eastAsia" w:ascii="微软雅黑" w:hAnsi="微软雅黑" w:eastAsia="微软雅黑" w:cs="微软雅黑"/>
          <w:b/>
          <w:bCs/>
          <w:sz w:val="24"/>
          <w:szCs w:val="24"/>
        </w:rPr>
        <w:t>课程大纲</w:t>
      </w:r>
    </w:p>
    <w:p>
      <w:pPr>
        <w:rPr>
          <w:rFonts w:ascii="微软雅黑" w:hAnsi="微软雅黑" w:eastAsia="微软雅黑" w:cs="Times New Roman"/>
          <w:b/>
          <w:bCs/>
          <w:sz w:val="24"/>
          <w:szCs w:val="24"/>
        </w:rPr>
      </w:pPr>
      <w:r>
        <w:rPr>
          <w:rFonts w:hint="eastAsia" w:ascii="微软雅黑" w:hAnsi="微软雅黑" w:eastAsia="微软雅黑" w:cs="微软雅黑"/>
          <w:b/>
          <w:bCs/>
          <w:sz w:val="24"/>
          <w:szCs w:val="24"/>
        </w:rPr>
        <w:t>一、</w:t>
      </w:r>
      <w:r>
        <w:rPr>
          <w:rFonts w:ascii="微软雅黑" w:hAnsi="微软雅黑" w:eastAsia="微软雅黑" w:cs="微软雅黑"/>
          <w:b/>
          <w:bCs/>
          <w:sz w:val="24"/>
          <w:szCs w:val="24"/>
        </w:rPr>
        <w:t xml:space="preserve"> </w:t>
      </w:r>
      <w:r>
        <w:rPr>
          <w:rFonts w:hint="eastAsia" w:ascii="微软雅黑" w:hAnsi="微软雅黑" w:eastAsia="微软雅黑" w:cs="微软雅黑"/>
          <w:b/>
          <w:bCs/>
          <w:sz w:val="24"/>
          <w:szCs w:val="24"/>
        </w:rPr>
        <w:t>如何快速读懂财务报表</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快速了解财务的目标和角色和三张基本报表</w:t>
      </w:r>
    </w:p>
    <w:p>
      <w:pPr>
        <w:rPr>
          <w:rFonts w:ascii="微软雅黑" w:hAnsi="微软雅黑" w:eastAsia="微软雅黑" w:cs="Times New Roman"/>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一）资产负债表</w:t>
      </w:r>
    </w:p>
    <w:p>
      <w:pPr>
        <w:rPr>
          <w:rFonts w:ascii="微软雅黑" w:hAnsi="微软雅黑" w:eastAsia="微软雅黑" w:cs="微软雅黑"/>
          <w:sz w:val="24"/>
          <w:szCs w:val="24"/>
        </w:rPr>
      </w:pPr>
      <w:r>
        <w:rPr>
          <w:rFonts w:hint="eastAsia" w:ascii="微软雅黑" w:hAnsi="微软雅黑" w:eastAsia="微软雅黑" w:cs="微软雅黑"/>
          <w:sz w:val="24"/>
          <w:szCs w:val="24"/>
        </w:rPr>
        <w:t>如何理解报表上的财务数字</w:t>
      </w:r>
      <w:r>
        <w:rPr>
          <w:rFonts w:ascii="微软雅黑" w:hAnsi="微软雅黑" w:eastAsia="微软雅黑" w:cs="微软雅黑"/>
          <w:sz w:val="24"/>
          <w:szCs w:val="24"/>
        </w:rPr>
        <w:t xml:space="preserve"> </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公司的各项经营活动在报表上怎样反映</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从公司财务管理的角度重新审视资产负债表</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（二）从管理的角度解读利润表</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利润是如何形成的、税收对利润及现金的影响、各种利润率及各项成本费用比率分析、应收账款的坏账、存货的减值、固定资产折旧等对利润的影响。</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（三）从管理的角度解读现金流量表</w:t>
      </w:r>
    </w:p>
    <w:p>
      <w:pPr>
        <w:rPr>
          <w:rFonts w:ascii="微软雅黑" w:hAnsi="微软雅黑" w:eastAsia="微软雅黑" w:cs="Times New Roman"/>
          <w:b/>
          <w:bCs/>
          <w:sz w:val="24"/>
          <w:szCs w:val="24"/>
        </w:rPr>
      </w:pPr>
      <w:r>
        <w:rPr>
          <w:rFonts w:hint="eastAsia" w:ascii="微软雅黑" w:hAnsi="微软雅黑" w:eastAsia="微软雅黑" w:cs="微软雅黑"/>
          <w:b/>
          <w:bCs/>
          <w:sz w:val="24"/>
          <w:szCs w:val="24"/>
        </w:rPr>
        <w:t>二、</w:t>
      </w:r>
      <w:r>
        <w:rPr>
          <w:rFonts w:ascii="微软雅黑" w:hAnsi="微软雅黑" w:eastAsia="微软雅黑" w:cs="微软雅黑"/>
          <w:b/>
          <w:bCs/>
          <w:sz w:val="24"/>
          <w:szCs w:val="24"/>
        </w:rPr>
        <w:t xml:space="preserve"> </w:t>
      </w:r>
      <w:r>
        <w:rPr>
          <w:rFonts w:hint="eastAsia" w:ascii="微软雅黑" w:hAnsi="微软雅黑" w:eastAsia="微软雅黑" w:cs="微软雅黑"/>
          <w:b/>
          <w:bCs/>
          <w:sz w:val="24"/>
          <w:szCs w:val="24"/>
        </w:rPr>
        <w:t>如何利用财务数据分析并改善经营绩效</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公司财务运作的核心思路：影响企业绩效的三大环节；</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资金效率、风险的分析与控制</w:t>
      </w:r>
      <w:r>
        <w:rPr>
          <w:rFonts w:ascii="微软雅黑" w:hAnsi="微软雅黑" w:eastAsia="微软雅黑" w:cs="微软雅黑"/>
          <w:sz w:val="24"/>
          <w:szCs w:val="24"/>
        </w:rPr>
        <w:t>——</w:t>
      </w:r>
      <w:r>
        <w:rPr>
          <w:rFonts w:hint="eastAsia" w:ascii="微软雅黑" w:hAnsi="微软雅黑" w:eastAsia="微软雅黑" w:cs="微软雅黑"/>
          <w:sz w:val="24"/>
          <w:szCs w:val="24"/>
        </w:rPr>
        <w:t>营运资本分析</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案例分析：国际先进的营运资本模式</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为什么公司会遇到资金周转危机？如何应对？</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改善公司营运资本状况，安全渡过经济危机的基本方法</w:t>
      </w:r>
    </w:p>
    <w:p>
      <w:pPr>
        <w:rPr>
          <w:rFonts w:ascii="微软雅黑" w:hAnsi="微软雅黑" w:eastAsia="微软雅黑" w:cs="微软雅黑"/>
          <w:sz w:val="24"/>
          <w:szCs w:val="24"/>
        </w:rPr>
      </w:pPr>
      <w:r>
        <w:rPr>
          <w:rFonts w:hint="eastAsia" w:ascii="微软雅黑" w:hAnsi="微软雅黑" w:eastAsia="微软雅黑" w:cs="微软雅黑"/>
          <w:sz w:val="24"/>
          <w:szCs w:val="24"/>
        </w:rPr>
        <w:t>财务比率综合分析法：</w:t>
      </w:r>
      <w:r>
        <w:rPr>
          <w:rFonts w:ascii="微软雅黑" w:hAnsi="微软雅黑" w:eastAsia="微软雅黑" w:cs="微软雅黑"/>
          <w:sz w:val="24"/>
          <w:szCs w:val="24"/>
        </w:rPr>
        <w:t xml:space="preserve"> 6</w:t>
      </w:r>
      <w:r>
        <w:rPr>
          <w:rFonts w:hint="eastAsia" w:ascii="微软雅黑" w:hAnsi="微软雅黑" w:eastAsia="微软雅黑" w:cs="微软雅黑"/>
          <w:sz w:val="24"/>
          <w:szCs w:val="24"/>
        </w:rPr>
        <w:t>大关键财务指标解析、</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应收账款周转率分析及改善方法、存货周转率分析及改善方法；</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企业获利能力分析：</w:t>
      </w:r>
      <w:r>
        <w:rPr>
          <w:rFonts w:ascii="微软雅黑" w:hAnsi="微软雅黑" w:eastAsia="微软雅黑" w:cs="微软雅黑"/>
          <w:sz w:val="24"/>
          <w:szCs w:val="24"/>
        </w:rPr>
        <w:t>ROS</w:t>
      </w:r>
      <w:r>
        <w:rPr>
          <w:rFonts w:hint="eastAsia" w:ascii="微软雅黑" w:hAnsi="微软雅黑" w:eastAsia="微软雅黑" w:cs="微软雅黑"/>
          <w:sz w:val="24"/>
          <w:szCs w:val="24"/>
        </w:rPr>
        <w:t>、</w:t>
      </w:r>
      <w:r>
        <w:rPr>
          <w:rFonts w:ascii="微软雅黑" w:hAnsi="微软雅黑" w:eastAsia="微软雅黑" w:cs="微软雅黑"/>
          <w:sz w:val="24"/>
          <w:szCs w:val="24"/>
        </w:rPr>
        <w:t>ROA</w:t>
      </w:r>
      <w:r>
        <w:rPr>
          <w:rFonts w:hint="eastAsia" w:ascii="微软雅黑" w:hAnsi="微软雅黑" w:eastAsia="微软雅黑" w:cs="微软雅黑"/>
          <w:sz w:val="24"/>
          <w:szCs w:val="24"/>
        </w:rPr>
        <w:t>、</w:t>
      </w:r>
      <w:r>
        <w:rPr>
          <w:rFonts w:ascii="微软雅黑" w:hAnsi="微软雅黑" w:eastAsia="微软雅黑" w:cs="微软雅黑"/>
          <w:sz w:val="24"/>
          <w:szCs w:val="24"/>
        </w:rPr>
        <w:t>ROE</w:t>
      </w:r>
    </w:p>
    <w:p>
      <w:pPr>
        <w:rPr>
          <w:rFonts w:ascii="微软雅黑" w:hAnsi="微软雅黑" w:eastAsia="微软雅黑" w:cs="微软雅黑"/>
          <w:sz w:val="24"/>
          <w:szCs w:val="24"/>
        </w:rPr>
      </w:pPr>
      <w:r>
        <w:rPr>
          <w:rFonts w:hint="eastAsia" w:ascii="微软雅黑" w:hAnsi="微软雅黑" w:eastAsia="微软雅黑" w:cs="微软雅黑"/>
          <w:sz w:val="24"/>
          <w:szCs w:val="24"/>
        </w:rPr>
        <w:t>案例综合分析：怎样产生理想的投资回报？</w:t>
      </w:r>
      <w:r>
        <w:rPr>
          <w:rFonts w:ascii="微软雅黑" w:hAnsi="微软雅黑" w:eastAsia="微软雅黑" w:cs="微软雅黑"/>
          <w:sz w:val="24"/>
          <w:szCs w:val="24"/>
        </w:rPr>
        <w:t xml:space="preserve">    </w:t>
      </w:r>
    </w:p>
    <w:p>
      <w:pPr>
        <w:rPr>
          <w:rFonts w:ascii="微软雅黑" w:hAnsi="微软雅黑" w:eastAsia="微软雅黑" w:cs="Times New Roman"/>
          <w:b/>
          <w:bCs/>
          <w:sz w:val="24"/>
          <w:szCs w:val="24"/>
        </w:rPr>
      </w:pPr>
      <w:r>
        <w:rPr>
          <w:rFonts w:hint="eastAsia" w:ascii="微软雅黑" w:hAnsi="微软雅黑" w:eastAsia="微软雅黑" w:cs="微软雅黑"/>
          <w:b/>
          <w:bCs/>
          <w:sz w:val="24"/>
          <w:szCs w:val="24"/>
        </w:rPr>
        <w:t>三、</w:t>
      </w:r>
      <w:r>
        <w:rPr>
          <w:rFonts w:ascii="微软雅黑" w:hAnsi="微软雅黑" w:eastAsia="微软雅黑" w:cs="微软雅黑"/>
          <w:b/>
          <w:bCs/>
          <w:sz w:val="24"/>
          <w:szCs w:val="24"/>
        </w:rPr>
        <w:t xml:space="preserve"> </w:t>
      </w:r>
      <w:r>
        <w:rPr>
          <w:rFonts w:hint="eastAsia" w:ascii="微软雅黑" w:hAnsi="微软雅黑" w:eastAsia="微软雅黑" w:cs="微软雅黑"/>
          <w:b/>
          <w:bCs/>
          <w:sz w:val="24"/>
          <w:szCs w:val="24"/>
        </w:rPr>
        <w:t>预算管理</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预算的重要性和原则</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每个部门、每位员工和预算的关系：全员参与怎样编制预算</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关键预算的编制逻辑、零基预算</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预算的跟踪与控制：事前、事中、事后</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利用预算控制成本费用的关键点</w:t>
      </w:r>
    </w:p>
    <w:p>
      <w:pPr>
        <w:rPr>
          <w:rFonts w:ascii="微软雅黑" w:hAnsi="微软雅黑" w:eastAsia="微软雅黑" w:cs="Times New Roman"/>
          <w:b/>
          <w:bCs/>
          <w:sz w:val="24"/>
          <w:szCs w:val="24"/>
        </w:rPr>
      </w:pPr>
      <w:r>
        <w:rPr>
          <w:rFonts w:hint="eastAsia" w:ascii="微软雅黑" w:hAnsi="微软雅黑" w:eastAsia="微软雅黑" w:cs="微软雅黑"/>
          <w:b/>
          <w:bCs/>
          <w:sz w:val="24"/>
          <w:szCs w:val="24"/>
        </w:rPr>
        <w:t>四、</w:t>
      </w:r>
      <w:r>
        <w:rPr>
          <w:rFonts w:ascii="微软雅黑" w:hAnsi="微软雅黑" w:eastAsia="微软雅黑" w:cs="微软雅黑"/>
          <w:b/>
          <w:bCs/>
          <w:sz w:val="24"/>
          <w:szCs w:val="24"/>
        </w:rPr>
        <w:t xml:space="preserve"> </w:t>
      </w:r>
      <w:r>
        <w:rPr>
          <w:rFonts w:hint="eastAsia" w:ascii="微软雅黑" w:hAnsi="微软雅黑" w:eastAsia="微软雅黑" w:cs="微软雅黑"/>
          <w:b/>
          <w:bCs/>
          <w:sz w:val="24"/>
          <w:szCs w:val="24"/>
        </w:rPr>
        <w:t>成本管理</w:t>
      </w:r>
      <w:r>
        <w:rPr>
          <w:rFonts w:ascii="微软雅黑" w:hAnsi="微软雅黑" w:eastAsia="微软雅黑" w:cs="微软雅黑"/>
          <w:b/>
          <w:bCs/>
          <w:sz w:val="24"/>
          <w:szCs w:val="24"/>
        </w:rPr>
        <w:t>——</w:t>
      </w:r>
      <w:r>
        <w:rPr>
          <w:rFonts w:hint="eastAsia" w:ascii="微软雅黑" w:hAnsi="微软雅黑" w:eastAsia="微软雅黑" w:cs="微软雅黑"/>
          <w:b/>
          <w:bCs/>
          <w:sz w:val="24"/>
          <w:szCs w:val="24"/>
        </w:rPr>
        <w:t>如何准确计算成本并有效控制成本和费用</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成本的划分思路：针对特点有效控制成本</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直接成本、间接成本</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固定成本、变动成本</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保本点分析</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规模效益与销售定价</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采购谈判中的保本点应用</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综合案例：了解不同目标下的成本分析思路，如企业成本模式战略决策、销售定价、产品盈利能力分析、绩效评定等。</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成本控制关键点</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五、</w:t>
      </w:r>
      <w:r>
        <w:rPr>
          <w:rFonts w:ascii="微软雅黑" w:hAnsi="微软雅黑" w:eastAsia="微软雅黑" w:cs="微软雅黑"/>
          <w:b/>
          <w:bCs/>
          <w:sz w:val="24"/>
          <w:szCs w:val="24"/>
        </w:rPr>
        <w:t xml:space="preserve"> </w:t>
      </w:r>
      <w:r>
        <w:rPr>
          <w:rFonts w:hint="eastAsia" w:ascii="微软雅黑" w:hAnsi="微软雅黑" w:eastAsia="微软雅黑" w:cs="微软雅黑"/>
          <w:b/>
          <w:bCs/>
          <w:sz w:val="24"/>
          <w:szCs w:val="24"/>
        </w:rPr>
        <w:t>总结：公司财务管理的关键点</w:t>
      </w:r>
    </w:p>
    <w:p>
      <w:pPr>
        <w:rPr>
          <w:rFonts w:ascii="微软雅黑" w:hAnsi="微软雅黑" w:eastAsia="微软雅黑" w:cs="Times New Roman"/>
          <w:b/>
          <w:bCs/>
          <w:sz w:val="24"/>
          <w:szCs w:val="24"/>
        </w:rPr>
      </w:pPr>
      <w:r>
        <w:rPr>
          <w:rFonts w:hint="eastAsia" w:ascii="微软雅黑" w:hAnsi="微软雅黑" w:eastAsia="微软雅黑" w:cs="微软雅黑"/>
          <w:b/>
          <w:bCs/>
          <w:sz w:val="24"/>
          <w:szCs w:val="24"/>
        </w:rPr>
        <w:t>课程师资：</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讲师资历</w:t>
      </w:r>
      <w:r>
        <w:rPr>
          <w:rFonts w:hint="eastAsia" w:ascii="微软雅黑" w:hAnsi="微软雅黑" w:eastAsia="微软雅黑" w:cs="微软雅黑"/>
          <w:sz w:val="24"/>
          <w:szCs w:val="24"/>
        </w:rPr>
        <w:t>：黄俭老师是中国首届企业管理咨询师，高级会计师、有多年大型企业集团高级财务管理经验和十年的培训咨询经验。黄老师目前是蓝草企业管理咨询有限公司首席财务讲师上海企业家协会特聘财务讲师。</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讲师背景：</w:t>
      </w:r>
      <w:r>
        <w:rPr>
          <w:rFonts w:hint="eastAsia" w:ascii="微软雅黑" w:hAnsi="微软雅黑" w:eastAsia="微软雅黑" w:cs="微软雅黑"/>
          <w:sz w:val="24"/>
          <w:szCs w:val="24"/>
        </w:rPr>
        <w:t>多年的实战经验，让他把繁琐的财务工作讲解通俗易懂，让非财务人员快速成为理财行家！黄老师曾在大中华集团公司，河南羚锐股份有限公司，圣象集团担任财务经理。</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主讲课程：《</w:t>
      </w:r>
      <w:r>
        <w:rPr>
          <w:rFonts w:hint="eastAsia" w:ascii="微软雅黑" w:hAnsi="微软雅黑" w:eastAsia="微软雅黑" w:cs="微软雅黑"/>
          <w:sz w:val="24"/>
          <w:szCs w:val="24"/>
        </w:rPr>
        <w:t>总经理的财务管理》、《财务报表解读与分析》、《非财务经理的财务管理》、《内部控制及风险管理》、《</w:t>
      </w:r>
      <w:r>
        <w:rPr>
          <w:rFonts w:ascii="微软雅黑" w:hAnsi="微软雅黑" w:eastAsia="微软雅黑" w:cs="微软雅黑"/>
          <w:sz w:val="24"/>
          <w:szCs w:val="24"/>
        </w:rPr>
        <w:t>EVA</w:t>
      </w:r>
      <w:r>
        <w:rPr>
          <w:rFonts w:hint="eastAsia" w:ascii="微软雅黑" w:hAnsi="微软雅黑" w:eastAsia="微软雅黑" w:cs="微软雅黑"/>
          <w:sz w:val="24"/>
          <w:szCs w:val="24"/>
        </w:rPr>
        <w:t>》、《成本会计》、《全面质量成本管理》、《税务策划与税务管理》、《全面预算管理与控制》、《成本控制与分析》</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培训过的客户中知名公司：</w:t>
      </w:r>
      <w:r>
        <w:rPr>
          <w:rFonts w:hint="eastAsia" w:ascii="微软雅黑" w:hAnsi="微软雅黑" w:eastAsia="微软雅黑" w:cs="微软雅黑"/>
          <w:sz w:val="24"/>
          <w:szCs w:val="24"/>
        </w:rPr>
        <w:t>武钢、际华国际、中国国航、宁德时代、东风汽车、广本汽车、虹桥机场、欧姆龙国际、上海市政府下属发改委等单位。</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推荐理由</w:t>
      </w:r>
      <w:r>
        <w:rPr>
          <w:rFonts w:ascii="微软雅黑" w:hAnsi="微软雅黑" w:eastAsia="微软雅黑" w:cs="微软雅黑"/>
          <w:sz w:val="24"/>
          <w:szCs w:val="24"/>
        </w:rPr>
        <w:t>:</w:t>
      </w:r>
      <w:r>
        <w:rPr>
          <w:rFonts w:hint="eastAsia" w:ascii="微软雅黑" w:hAnsi="微软雅黑" w:eastAsia="微软雅黑" w:cs="微软雅黑"/>
          <w:sz w:val="24"/>
          <w:szCs w:val="24"/>
        </w:rPr>
        <w:t>黄老师分享都是干货，内容实战又不缺乏幽默；课程突出实用性、故事性、新鲜性和幽默性。通过一系列财务管理案例剖析点评，使企业管理人员快速掌握一些财务管理先进理念，分析技巧、提高解决问题的能力。</w:t>
      </w:r>
    </w:p>
    <w:p>
      <w:pPr>
        <w:pStyle w:val="19"/>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cs="Times New Roma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0000000000000000000"/>
    <w:charset w:val="86"/>
    <w:family w:val="auto"/>
    <w:pitch w:val="default"/>
    <w:sig w:usb0="00000000" w:usb1="00000000" w:usb2="00000010" w:usb3="00000000" w:csb0="00040000" w:csb1="00000000"/>
  </w:font>
  <w:font w:name="Microsoft YaHei U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华文行楷">
    <w:altName w:val="微软雅黑"/>
    <w:panose1 w:val="0201080004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color w:val="00B0F0"/>
      </w:rPr>
    </w:pPr>
    <w:r>
      <w:pict>
        <v:rect id="文本框 4" o:spid="_x0000_s4099" o:spt="1" style="position:absolute;left:0pt;margin-left:177.95pt;margin-top:4.15pt;height:31.2pt;width:276.1pt;z-index:251661312;mso-width-relative:page;mso-height-relative:page;" o:preferrelative="t" stroked="f" coordsize="21600,21600">
          <v:path/>
          <v:fill focussize="0,0"/>
          <v:stroke on="f"/>
          <v:imagedata o:title=""/>
          <o:lock v:ext="edit"/>
          <v:textbox>
            <w:txbxContent>
              <w:p>
                <w:pPr>
                  <w:rPr>
                    <w:rFonts w:cs="Times New Roman"/>
                  </w:rPr>
                </w:pPr>
              </w:p>
            </w:txbxContent>
          </v:textbox>
        </v:rect>
      </w:pict>
    </w:r>
    <w:r>
      <w:pict>
        <v:line id="直线连接符 3" o:spid="_x0000_s4100" o:spt="20" style="position:absolute;left:0pt;margin-left:-85.95pt;margin-top:-3.5pt;height:0.55pt;width:585pt;z-index:251660288;mso-width-relative:page;mso-height-relative:page;" o:preferrelative="t" stroked="t" coordsize="21600,21600">
          <v:path arrowok="t"/>
          <v:fill focussize="0,0"/>
          <v:stroke weight="1.75pt" color="#4A7DBA" miterlimit="2" dashstyle="longDashDot"/>
          <v:imagedata o:title=""/>
          <o:lock v:ext="edit"/>
        </v:line>
      </w:pic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szCs w:val="24"/>
      </w:rPr>
    </w:pPr>
    <w:r>
      <w:pict>
        <v:line id="直线连接符 2" o:spid="_x0000_s4098" o:spt="20" style="position:absolute;left:0pt;margin-left:-85.95pt;margin-top:17.65pt;height:0.05pt;width:585pt;z-index:251659264;mso-width-relative:page;mso-height-relative:page;" o:preferrelative="t" stroked="t" coordsize="21600,21600">
          <v:path arrowok="t"/>
          <v:fill focussize="0,0"/>
          <v:stroke weight="1.25pt" color="#17365D" miterlimit="2" dashstyle="1 1"/>
          <v:imagedata o:title=""/>
          <o:lock v:ext="edit"/>
        </v:line>
      </w:pict>
    </w:r>
    <w:r>
      <w:rPr>
        <w:rFonts w:eastAsia="微软雅黑"/>
        <w:color w:val="0000FF"/>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177B63"/>
    <w:rsid w:val="002E79F7"/>
    <w:rsid w:val="002F7B2D"/>
    <w:rsid w:val="003018A4"/>
    <w:rsid w:val="00331F87"/>
    <w:rsid w:val="00343FEE"/>
    <w:rsid w:val="00400775"/>
    <w:rsid w:val="0042048F"/>
    <w:rsid w:val="004279C2"/>
    <w:rsid w:val="00444909"/>
    <w:rsid w:val="004759B6"/>
    <w:rsid w:val="004B3B51"/>
    <w:rsid w:val="00577A72"/>
    <w:rsid w:val="00585547"/>
    <w:rsid w:val="005B4BAE"/>
    <w:rsid w:val="006339D7"/>
    <w:rsid w:val="006F507D"/>
    <w:rsid w:val="008E00CF"/>
    <w:rsid w:val="0091450E"/>
    <w:rsid w:val="00944593"/>
    <w:rsid w:val="009B74C9"/>
    <w:rsid w:val="009F1362"/>
    <w:rsid w:val="00AB3A77"/>
    <w:rsid w:val="00B05CFB"/>
    <w:rsid w:val="00B42E2C"/>
    <w:rsid w:val="00B944D8"/>
    <w:rsid w:val="00C473A3"/>
    <w:rsid w:val="00CD04FE"/>
    <w:rsid w:val="00D46862"/>
    <w:rsid w:val="00D47868"/>
    <w:rsid w:val="00D71C00"/>
    <w:rsid w:val="00DA7308"/>
    <w:rsid w:val="00FA3F21"/>
    <w:rsid w:val="03013F78"/>
    <w:rsid w:val="03350229"/>
    <w:rsid w:val="07C221EE"/>
    <w:rsid w:val="09353803"/>
    <w:rsid w:val="09497C15"/>
    <w:rsid w:val="0AB22CE0"/>
    <w:rsid w:val="0D29619B"/>
    <w:rsid w:val="0D951C04"/>
    <w:rsid w:val="0F8136C6"/>
    <w:rsid w:val="10C44A28"/>
    <w:rsid w:val="120C5579"/>
    <w:rsid w:val="15BC1035"/>
    <w:rsid w:val="180839B6"/>
    <w:rsid w:val="18AA49CE"/>
    <w:rsid w:val="1B5C4BD8"/>
    <w:rsid w:val="1C7C6174"/>
    <w:rsid w:val="1DDA1801"/>
    <w:rsid w:val="1DE2702B"/>
    <w:rsid w:val="1E0846AD"/>
    <w:rsid w:val="1E9513D1"/>
    <w:rsid w:val="1F9E3BA8"/>
    <w:rsid w:val="22CF560E"/>
    <w:rsid w:val="234F7A83"/>
    <w:rsid w:val="24FE1C1A"/>
    <w:rsid w:val="25D06EE8"/>
    <w:rsid w:val="267A0A9A"/>
    <w:rsid w:val="26CF093B"/>
    <w:rsid w:val="29EA0F77"/>
    <w:rsid w:val="29ED5085"/>
    <w:rsid w:val="2A7014E2"/>
    <w:rsid w:val="2AC87900"/>
    <w:rsid w:val="2CA50F23"/>
    <w:rsid w:val="2DCE5EC1"/>
    <w:rsid w:val="2E2E65D6"/>
    <w:rsid w:val="2F20473C"/>
    <w:rsid w:val="30B0079D"/>
    <w:rsid w:val="30D313A9"/>
    <w:rsid w:val="359F2EF3"/>
    <w:rsid w:val="37165A03"/>
    <w:rsid w:val="373A3299"/>
    <w:rsid w:val="3A773F31"/>
    <w:rsid w:val="3A8D2E06"/>
    <w:rsid w:val="3ABB7D30"/>
    <w:rsid w:val="3AC87A41"/>
    <w:rsid w:val="3C3F2BEA"/>
    <w:rsid w:val="3EC641CB"/>
    <w:rsid w:val="3F1F3F36"/>
    <w:rsid w:val="41304EAC"/>
    <w:rsid w:val="41FA4F75"/>
    <w:rsid w:val="4289324C"/>
    <w:rsid w:val="445A6EFA"/>
    <w:rsid w:val="44F96E76"/>
    <w:rsid w:val="477C1095"/>
    <w:rsid w:val="49AE6988"/>
    <w:rsid w:val="4ABE0178"/>
    <w:rsid w:val="4B9A0D61"/>
    <w:rsid w:val="4E975BFA"/>
    <w:rsid w:val="4FD60798"/>
    <w:rsid w:val="50E94570"/>
    <w:rsid w:val="526117B6"/>
    <w:rsid w:val="528637C2"/>
    <w:rsid w:val="541844C1"/>
    <w:rsid w:val="54362252"/>
    <w:rsid w:val="54C43B0A"/>
    <w:rsid w:val="56FF60AA"/>
    <w:rsid w:val="5DD46E84"/>
    <w:rsid w:val="62E674D0"/>
    <w:rsid w:val="63352E4C"/>
    <w:rsid w:val="64CB7612"/>
    <w:rsid w:val="656F550D"/>
    <w:rsid w:val="68847B4D"/>
    <w:rsid w:val="6AA221E0"/>
    <w:rsid w:val="6FA974C0"/>
    <w:rsid w:val="704F40C0"/>
    <w:rsid w:val="713E5EB9"/>
    <w:rsid w:val="715C4894"/>
    <w:rsid w:val="718F79D2"/>
    <w:rsid w:val="749B5A6C"/>
    <w:rsid w:val="7618385C"/>
    <w:rsid w:val="7A725560"/>
    <w:rsid w:val="7B16492D"/>
    <w:rsid w:val="7DFA72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2"/>
    <w:qFormat/>
    <w:uiPriority w:val="99"/>
    <w:pPr>
      <w:keepNext/>
      <w:keepLines/>
      <w:spacing w:before="340" w:after="330" w:line="578" w:lineRule="auto"/>
      <w:outlineLvl w:val="0"/>
    </w:pPr>
    <w:rPr>
      <w:b/>
      <w:bCs/>
      <w:kern w:val="44"/>
      <w:sz w:val="44"/>
      <w:szCs w:val="44"/>
    </w:rPr>
  </w:style>
  <w:style w:type="paragraph" w:styleId="4">
    <w:name w:val="heading 3"/>
    <w:basedOn w:val="1"/>
    <w:next w:val="1"/>
    <w:link w:val="13"/>
    <w:qFormat/>
    <w:uiPriority w:val="99"/>
    <w:pPr>
      <w:keepNext/>
      <w:keepLines/>
      <w:spacing w:before="260" w:after="260" w:line="413" w:lineRule="auto"/>
      <w:outlineLvl w:val="2"/>
    </w:pPr>
    <w:rPr>
      <w:b/>
      <w:bCs/>
      <w:sz w:val="32"/>
      <w:szCs w:val="32"/>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FollowedHyperlink"/>
    <w:basedOn w:val="9"/>
    <w:qFormat/>
    <w:uiPriority w:val="99"/>
    <w:rPr>
      <w:color w:val="800080"/>
      <w:u w:val="single"/>
    </w:rPr>
  </w:style>
  <w:style w:type="character" w:styleId="11">
    <w:name w:val="Hyperlink"/>
    <w:basedOn w:val="9"/>
    <w:qFormat/>
    <w:uiPriority w:val="99"/>
    <w:rPr>
      <w:color w:val="0000FF"/>
      <w:u w:val="single"/>
    </w:rPr>
  </w:style>
  <w:style w:type="character" w:customStyle="1" w:styleId="12">
    <w:name w:val="Heading 1 Char"/>
    <w:basedOn w:val="9"/>
    <w:link w:val="3"/>
    <w:qFormat/>
    <w:locked/>
    <w:uiPriority w:val="99"/>
    <w:rPr>
      <w:rFonts w:ascii="Calibri" w:hAnsi="Calibri" w:cs="Calibri"/>
      <w:b/>
      <w:bCs/>
      <w:kern w:val="44"/>
      <w:sz w:val="44"/>
      <w:szCs w:val="44"/>
    </w:rPr>
  </w:style>
  <w:style w:type="character" w:customStyle="1" w:styleId="13">
    <w:name w:val="Heading 3 Char"/>
    <w:basedOn w:val="9"/>
    <w:link w:val="4"/>
    <w:semiHidden/>
    <w:qFormat/>
    <w:uiPriority w:val="9"/>
    <w:rPr>
      <w:rFonts w:ascii="Calibri" w:hAnsi="Calibri" w:cs="Calibri"/>
      <w:b/>
      <w:bCs/>
      <w:sz w:val="32"/>
      <w:szCs w:val="32"/>
    </w:rPr>
  </w:style>
  <w:style w:type="character" w:customStyle="1" w:styleId="14">
    <w:name w:val="Footer Char"/>
    <w:basedOn w:val="9"/>
    <w:link w:val="5"/>
    <w:semiHidden/>
    <w:qFormat/>
    <w:uiPriority w:val="99"/>
    <w:rPr>
      <w:rFonts w:ascii="Calibri" w:hAnsi="Calibri" w:cs="Calibri"/>
      <w:sz w:val="18"/>
      <w:szCs w:val="18"/>
    </w:rPr>
  </w:style>
  <w:style w:type="character" w:customStyle="1" w:styleId="15">
    <w:name w:val="Header Char"/>
    <w:basedOn w:val="9"/>
    <w:link w:val="6"/>
    <w:qFormat/>
    <w:locked/>
    <w:uiPriority w:val="99"/>
    <w:rPr>
      <w:kern w:val="2"/>
      <w:sz w:val="22"/>
      <w:szCs w:val="22"/>
    </w:rPr>
  </w:style>
  <w:style w:type="paragraph" w:customStyle="1" w:styleId="16">
    <w:name w:val="列出段落1"/>
    <w:qFormat/>
    <w:uiPriority w:val="99"/>
    <w:pPr>
      <w:ind w:firstLine="420" w:firstLineChars="200"/>
    </w:pPr>
    <w:rPr>
      <w:rFonts w:ascii="Times New Roman" w:hAnsi="Times New Roman" w:eastAsia="宋体" w:cs="Times New Roman"/>
      <w:kern w:val="0"/>
      <w:sz w:val="20"/>
      <w:szCs w:val="20"/>
      <w:lang w:val="en-US" w:eastAsia="zh-CN" w:bidi="ar-SA"/>
    </w:rPr>
  </w:style>
  <w:style w:type="paragraph" w:customStyle="1" w:styleId="17">
    <w:name w:val="No Spacing1"/>
    <w:qFormat/>
    <w:uiPriority w:val="99"/>
    <w:rPr>
      <w:rFonts w:ascii="DengXian" w:hAnsi="DengXian" w:eastAsia="Microsoft YaHei UI" w:cs="DengXian"/>
      <w:kern w:val="0"/>
      <w:sz w:val="22"/>
      <w:szCs w:val="22"/>
      <w:lang w:val="en-US" w:eastAsia="zh-CN" w:bidi="ar-SA"/>
    </w:rPr>
  </w:style>
  <w:style w:type="paragraph" w:customStyle="1" w:styleId="18">
    <w:name w:val="List Paragraph1"/>
    <w:basedOn w:val="1"/>
    <w:qFormat/>
    <w:uiPriority w:val="99"/>
    <w:pPr>
      <w:ind w:firstLine="420" w:firstLineChars="200"/>
    </w:pPr>
  </w:style>
  <w:style w:type="paragraph" w:customStyle="1" w:styleId="19">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5</Pages>
  <Words>1979</Words>
  <Characters>2059</Characters>
  <Lines>0</Lines>
  <Paragraphs>0</Paragraphs>
  <TotalTime>16</TotalTime>
  <ScaleCrop>false</ScaleCrop>
  <LinksUpToDate>false</LinksUpToDate>
  <CharactersWithSpaces>2111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hh2297</cp:lastModifiedBy>
  <dcterms:modified xsi:type="dcterms:W3CDTF">2022-03-01T04:54:09Z</dcterms:modified>
  <dc:title>方便选课-按岗位为您蓄能企业岗位培训项目分类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2B29F31A3C1049F8B8CDD8AEDAD61E59</vt:lpwstr>
  </property>
</Properties>
</file>