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Times New Roman"/>
          <w:b/>
          <w:bCs/>
          <w:sz w:val="24"/>
          <w:szCs w:val="24"/>
        </w:rPr>
      </w:pPr>
      <w:r>
        <w:rPr>
          <w:rFonts w:hint="eastAsia" w:ascii="微软雅黑" w:hAnsi="微软雅黑" w:eastAsia="微软雅黑" w:cs="微软雅黑"/>
          <w:b/>
          <w:bCs/>
          <w:sz w:val="24"/>
          <w:szCs w:val="24"/>
        </w:rPr>
        <w:t>公司财务分析与风险防范</w:t>
      </w:r>
      <w:r>
        <w:rPr>
          <w:rFonts w:ascii="微软雅黑" w:hAnsi="微软雅黑" w:eastAsia="微软雅黑" w:cs="微软雅黑"/>
          <w:b/>
          <w:bCs/>
          <w:sz w:val="24"/>
          <w:szCs w:val="24"/>
        </w:rPr>
        <w:t>20</w:t>
      </w:r>
      <w:r>
        <w:rPr>
          <w:rFonts w:hint="eastAsia" w:ascii="微软雅黑" w:hAnsi="微软雅黑" w:eastAsia="微软雅黑" w:cs="微软雅黑"/>
          <w:b/>
          <w:bCs/>
          <w:sz w:val="24"/>
          <w:szCs w:val="24"/>
          <w:lang w:val="en-US" w:eastAsia="zh-CN"/>
        </w:rPr>
        <w:t>22</w:t>
      </w:r>
      <w:r>
        <w:rPr>
          <w:rFonts w:hint="eastAsia" w:ascii="微软雅黑" w:hAnsi="微软雅黑" w:eastAsia="微软雅黑" w:cs="微软雅黑"/>
          <w:b/>
          <w:bCs/>
          <w:sz w:val="24"/>
          <w:szCs w:val="24"/>
        </w:rPr>
        <w:t>年课程计划：</w:t>
      </w:r>
    </w:p>
    <w:p>
      <w:pPr>
        <w:rPr>
          <w:rFonts w:hint="eastAsia" w:eastAsia="微软雅黑" w:cs="微软雅黑"/>
          <w:b/>
          <w:bCs/>
          <w:sz w:val="24"/>
          <w:szCs w:val="24"/>
        </w:rPr>
      </w:pPr>
      <w:r>
        <w:rPr>
          <w:rFonts w:hint="eastAsia" w:ascii="仿宋" w:hAnsi="仿宋" w:eastAsia="微软雅黑" w:cs="微软雅黑"/>
          <w:b/>
          <w:bCs/>
          <w:sz w:val="24"/>
          <w:szCs w:val="24"/>
        </w:rPr>
        <w:t>课程</w:t>
      </w:r>
      <w:r>
        <w:rPr>
          <w:rFonts w:hint="eastAsia" w:eastAsia="微软雅黑" w:cs="微软雅黑"/>
          <w:b/>
          <w:bCs/>
          <w:sz w:val="24"/>
          <w:szCs w:val="24"/>
        </w:rPr>
        <w:t>价格：</w:t>
      </w:r>
      <w:r>
        <w:rPr>
          <w:rFonts w:eastAsia="微软雅黑"/>
          <w:b/>
          <w:bCs/>
          <w:sz w:val="24"/>
          <w:szCs w:val="24"/>
        </w:rPr>
        <w:t>4</w:t>
      </w:r>
      <w:r>
        <w:rPr>
          <w:rFonts w:hint="eastAsia" w:eastAsia="微软雅黑"/>
          <w:b/>
          <w:bCs/>
          <w:sz w:val="24"/>
          <w:szCs w:val="24"/>
          <w:lang w:val="en-US" w:eastAsia="zh-CN"/>
        </w:rPr>
        <w:t>8</w:t>
      </w:r>
      <w:r>
        <w:rPr>
          <w:rFonts w:eastAsia="微软雅黑"/>
          <w:b/>
          <w:bCs/>
          <w:sz w:val="24"/>
          <w:szCs w:val="24"/>
        </w:rPr>
        <w:t>80</w:t>
      </w:r>
      <w:r>
        <w:rPr>
          <w:rFonts w:hint="eastAsia" w:eastAsia="微软雅黑" w:cs="微软雅黑"/>
          <w:b/>
          <w:bCs/>
          <w:sz w:val="24"/>
          <w:szCs w:val="24"/>
        </w:rPr>
        <w:t>（</w:t>
      </w:r>
      <w:r>
        <w:rPr>
          <w:rFonts w:hint="eastAsia" w:ascii="微软雅黑" w:hAnsi="微软雅黑" w:eastAsia="微软雅黑" w:cs="微软雅黑"/>
          <w:b/>
          <w:bCs/>
          <w:sz w:val="24"/>
          <w:szCs w:val="24"/>
          <w:lang w:val="zh-CN"/>
        </w:rPr>
        <w:t>含授课费、资料费、午餐费</w:t>
      </w:r>
      <w:r>
        <w:rPr>
          <w:rFonts w:hint="eastAsia" w:eastAsia="微软雅黑" w:cs="微软雅黑"/>
          <w:b/>
          <w:bCs/>
          <w:sz w:val="24"/>
          <w:szCs w:val="24"/>
        </w:rPr>
        <w:t>）</w:t>
      </w:r>
    </w:p>
    <w:tbl>
      <w:tblPr>
        <w:tblStyle w:val="8"/>
        <w:tblW w:w="9030" w:type="dxa"/>
        <w:tblInd w:w="0" w:type="dxa"/>
        <w:shd w:val="clear" w:color="auto" w:fill="auto"/>
        <w:tblLayout w:type="autofit"/>
        <w:tblCellMar>
          <w:top w:w="0" w:type="dxa"/>
          <w:left w:w="0" w:type="dxa"/>
          <w:bottom w:w="0" w:type="dxa"/>
          <w:right w:w="0" w:type="dxa"/>
        </w:tblCellMar>
      </w:tblPr>
      <w:tblGrid>
        <w:gridCol w:w="660"/>
        <w:gridCol w:w="735"/>
        <w:gridCol w:w="555"/>
        <w:gridCol w:w="735"/>
        <w:gridCol w:w="735"/>
        <w:gridCol w:w="555"/>
        <w:gridCol w:w="780"/>
        <w:gridCol w:w="555"/>
        <w:gridCol w:w="735"/>
        <w:gridCol w:w="555"/>
        <w:gridCol w:w="780"/>
        <w:gridCol w:w="750"/>
        <w:gridCol w:w="900"/>
      </w:tblGrid>
      <w:tr>
        <w:tblPrEx>
          <w:shd w:val="clear" w:color="auto" w:fill="auto"/>
          <w:tblCellMar>
            <w:top w:w="0" w:type="dxa"/>
            <w:left w:w="0" w:type="dxa"/>
            <w:bottom w:w="0" w:type="dxa"/>
            <w:right w:w="0"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地点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四月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五月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六月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七月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八月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九月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十一月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十二月</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28-29</w:t>
            </w:r>
          </w:p>
        </w:tc>
      </w:tr>
    </w:tbl>
    <w:p>
      <w:pPr>
        <w:rPr>
          <w:rFonts w:ascii="微软雅黑" w:hAnsi="微软雅黑" w:eastAsia="微软雅黑" w:cs="Times New Roman"/>
          <w:b/>
          <w:bCs/>
          <w:sz w:val="24"/>
          <w:szCs w:val="24"/>
        </w:rPr>
      </w:pPr>
      <w:r>
        <w:rPr>
          <w:rFonts w:hint="eastAsia" w:ascii="微软雅黑" w:hAnsi="微软雅黑" w:eastAsia="微软雅黑" w:cs="微软雅黑"/>
          <w:b/>
          <w:bCs/>
          <w:sz w:val="24"/>
          <w:szCs w:val="24"/>
        </w:rPr>
        <w:t>培训收益</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掌握公司财务分析的有效方法和工具，合理、高效的财务分析思路和方法，是企业提高管理和决策水平、防范运作风险的重要途径，并将使你的工作事半功倍。</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发现企业运作中的优劣所在。</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量化分析具体的财务数据，并结合企业整体战略，为企业决策和管理提供有力的财务信息支持。</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找到企业运营的高风险区域、掌握改善现状和防范风险的有效方法</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把握特殊阶段，如经济危机时期财务分析的重点</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摆脱数字和框架的束缚，跳出财务来看财务，从全新的角度审视和重整自身工作</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有效改善与其它部门的沟通</w:t>
      </w:r>
      <w:r>
        <w:rPr>
          <w:rFonts w:hint="eastAsia" w:ascii="微软雅黑" w:hAnsi="微软雅黑" w:eastAsia="微软雅黑" w:cs="微软雅黑"/>
          <w:sz w:val="24"/>
          <w:szCs w:val="24"/>
          <w:lang w:eastAsia="zh-CN"/>
        </w:rPr>
        <w:t>。</w:t>
      </w:r>
    </w:p>
    <w:p>
      <w:pPr>
        <w:rPr>
          <w:rFonts w:ascii="微软雅黑" w:hAnsi="微软雅黑" w:eastAsia="微软雅黑" w:cs="Times New Roman"/>
          <w:b/>
          <w:bCs/>
          <w:sz w:val="24"/>
          <w:szCs w:val="24"/>
        </w:rPr>
      </w:pPr>
      <w:r>
        <w:rPr>
          <w:rFonts w:hint="eastAsia" w:ascii="微软雅黑" w:hAnsi="微软雅黑" w:eastAsia="微软雅黑" w:cs="微软雅黑"/>
          <w:b/>
          <w:bCs/>
          <w:sz w:val="24"/>
          <w:szCs w:val="24"/>
        </w:rPr>
        <w:t>培训对象：</w:t>
      </w:r>
    </w:p>
    <w:p>
      <w:pPr>
        <w:rPr>
          <w:rFonts w:ascii="微软雅黑" w:hAnsi="微软雅黑" w:eastAsia="微软雅黑" w:cs="微软雅黑"/>
          <w:sz w:val="24"/>
          <w:szCs w:val="24"/>
        </w:rPr>
      </w:pPr>
      <w:r>
        <w:rPr>
          <w:rFonts w:hint="eastAsia" w:ascii="微软雅黑" w:hAnsi="微软雅黑" w:eastAsia="微软雅黑" w:cs="微软雅黑"/>
          <w:sz w:val="24"/>
          <w:szCs w:val="24"/>
        </w:rPr>
        <w:t>财务总监，高级财务经理、财务经理，财务分析人员、公司中高层管理者、</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财务人员</w:t>
      </w:r>
      <w:r>
        <w:rPr>
          <w:rFonts w:ascii="微软雅黑" w:hAnsi="微软雅黑" w:eastAsia="微软雅黑" w:cs="微软雅黑"/>
          <w:sz w:val="24"/>
          <w:szCs w:val="24"/>
        </w:rPr>
        <w:t xml:space="preserve">  </w:t>
      </w:r>
    </w:p>
    <w:p>
      <w:pPr>
        <w:rPr>
          <w:rFonts w:ascii="微软雅黑" w:hAnsi="微软雅黑" w:eastAsia="微软雅黑" w:cs="Times New Roman"/>
          <w:b/>
          <w:bCs/>
          <w:sz w:val="24"/>
          <w:szCs w:val="24"/>
        </w:rPr>
      </w:pPr>
      <w:r>
        <w:rPr>
          <w:rFonts w:hint="eastAsia" w:ascii="微软雅黑" w:hAnsi="微软雅黑" w:eastAsia="微软雅黑" w:cs="微软雅黑"/>
          <w:b/>
          <w:bCs/>
          <w:sz w:val="24"/>
          <w:szCs w:val="24"/>
        </w:rPr>
        <w:t>课程大纲</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一、</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引言</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财务的目标</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记账只是手段，管理控制才是目的</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财务与其它部门的关系</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从财务管理的角度重新审视资产负债表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从财务管理的角度重新审视损益表</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企业财务分析的核心思路</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 xml:space="preserve">    1</w:t>
      </w:r>
      <w:r>
        <w:rPr>
          <w:rFonts w:hint="eastAsia" w:ascii="微软雅黑" w:hAnsi="微软雅黑" w:eastAsia="微软雅黑" w:cs="微软雅黑"/>
          <w:sz w:val="24"/>
          <w:szCs w:val="24"/>
        </w:rPr>
        <w:t>个起点：市场</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 xml:space="preserve">   3</w:t>
      </w:r>
      <w:r>
        <w:rPr>
          <w:rFonts w:hint="eastAsia" w:ascii="微软雅黑" w:hAnsi="微软雅黑" w:eastAsia="微软雅黑" w:cs="微软雅黑"/>
          <w:sz w:val="24"/>
          <w:szCs w:val="24"/>
        </w:rPr>
        <w:t>大方面的运作：花钱、占用钱、占用谁的钱</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 xml:space="preserve">  2</w:t>
      </w:r>
      <w:r>
        <w:rPr>
          <w:rFonts w:hint="eastAsia" w:ascii="微软雅黑" w:hAnsi="微软雅黑" w:eastAsia="微软雅黑" w:cs="微软雅黑"/>
          <w:sz w:val="24"/>
          <w:szCs w:val="24"/>
        </w:rPr>
        <w:t>大结果：风险和回报的平衡</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二、</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营运资本分析</w:t>
      </w:r>
      <w:r>
        <w:rPr>
          <w:rFonts w:ascii="微软雅黑" w:hAnsi="微软雅黑" w:eastAsia="微软雅黑" w:cs="微软雅黑"/>
          <w:sz w:val="24"/>
          <w:szCs w:val="24"/>
        </w:rPr>
        <w:t>——</w:t>
      </w:r>
      <w:r>
        <w:rPr>
          <w:rFonts w:hint="eastAsia" w:ascii="微软雅黑" w:hAnsi="微软雅黑" w:eastAsia="微软雅黑" w:cs="微软雅黑"/>
          <w:sz w:val="24"/>
          <w:szCs w:val="24"/>
        </w:rPr>
        <w:t>有效控制资金效率及风险</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国际先进的营运资本分析方法</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为什么公司会遇到资金周转危机？如何应对？</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经济危机时期营运资本管理重点</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运用营运资本进行财务报表的详细分析</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实用工具</w:t>
      </w:r>
      <w:r>
        <w:rPr>
          <w:rFonts w:ascii="微软雅黑" w:hAnsi="微软雅黑" w:eastAsia="微软雅黑" w:cs="微软雅黑"/>
          <w:sz w:val="24"/>
          <w:szCs w:val="24"/>
        </w:rPr>
        <w:t>——</w:t>
      </w:r>
      <w:r>
        <w:rPr>
          <w:rFonts w:hint="eastAsia" w:ascii="微软雅黑" w:hAnsi="微软雅黑" w:eastAsia="微软雅黑" w:cs="微软雅黑"/>
          <w:sz w:val="24"/>
          <w:szCs w:val="24"/>
        </w:rPr>
        <w:t>营运资本</w:t>
      </w:r>
      <w:r>
        <w:rPr>
          <w:rFonts w:ascii="微软雅黑" w:hAnsi="微软雅黑" w:eastAsia="微软雅黑" w:cs="微软雅黑"/>
          <w:sz w:val="24"/>
          <w:szCs w:val="24"/>
        </w:rPr>
        <w:t>EXCEL</w:t>
      </w:r>
      <w:r>
        <w:rPr>
          <w:rFonts w:hint="eastAsia" w:ascii="微软雅黑" w:hAnsi="微软雅黑" w:eastAsia="微软雅黑" w:cs="微软雅黑"/>
          <w:sz w:val="24"/>
          <w:szCs w:val="24"/>
        </w:rPr>
        <w:t>自动分析表格</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主营业务及非主营业务营运资本分析</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不同产品的营运资本分析</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三、</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财务比率分析方法</w:t>
      </w:r>
      <w:r>
        <w:rPr>
          <w:rFonts w:ascii="微软雅黑" w:hAnsi="微软雅黑" w:eastAsia="微软雅黑" w:cs="微软雅黑"/>
          <w:sz w:val="24"/>
          <w:szCs w:val="24"/>
        </w:rPr>
        <w:t>——</w:t>
      </w:r>
      <w:r>
        <w:rPr>
          <w:rFonts w:hint="eastAsia" w:ascii="微软雅黑" w:hAnsi="微软雅黑" w:eastAsia="微软雅黑" w:cs="微软雅黑"/>
          <w:sz w:val="24"/>
          <w:szCs w:val="24"/>
        </w:rPr>
        <w:t>有效提升管理效率、控制经营风险</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企业关键财务指标的管理含义</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通过财务比率分析并改善企业运作</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信用控制指标：信用风险控制与销售拓展</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存货控制指标：存货的管理</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财务杠杆</w:t>
      </w:r>
      <w:r>
        <w:rPr>
          <w:rFonts w:ascii="微软雅黑" w:hAnsi="微软雅黑" w:eastAsia="微软雅黑" w:cs="微软雅黑"/>
          <w:sz w:val="24"/>
          <w:szCs w:val="24"/>
        </w:rPr>
        <w:t>——</w:t>
      </w:r>
      <w:r>
        <w:rPr>
          <w:rFonts w:hint="eastAsia" w:ascii="微软雅黑" w:hAnsi="微软雅黑" w:eastAsia="微软雅黑" w:cs="微软雅黑"/>
          <w:sz w:val="24"/>
          <w:szCs w:val="24"/>
        </w:rPr>
        <w:t>负债经营的效率及风险控制</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不同利润层次的决策作用</w:t>
      </w:r>
    </w:p>
    <w:p>
      <w:pPr>
        <w:rPr>
          <w:rFonts w:ascii="微软雅黑" w:hAnsi="微软雅黑" w:eastAsia="微软雅黑" w:cs="微软雅黑"/>
          <w:sz w:val="24"/>
          <w:szCs w:val="24"/>
        </w:rPr>
      </w:pPr>
      <w:r>
        <w:rPr>
          <w:rFonts w:ascii="微软雅黑" w:hAnsi="微软雅黑" w:eastAsia="微软雅黑" w:cs="微软雅黑"/>
          <w:sz w:val="24"/>
          <w:szCs w:val="24"/>
        </w:rPr>
        <w:t xml:space="preserve">    ROCE, ROA, ROI, ROE</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综合分析：怎样产生理想的投资回报？</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EVA</w:t>
      </w:r>
      <w:r>
        <w:rPr>
          <w:rFonts w:hint="eastAsia" w:ascii="微软雅黑" w:hAnsi="微软雅黑" w:eastAsia="微软雅黑" w:cs="微软雅黑"/>
          <w:sz w:val="24"/>
          <w:szCs w:val="24"/>
        </w:rPr>
        <w:t>：企业在创造财富还是在毁灭财富</w:t>
      </w:r>
      <w:r>
        <w:rPr>
          <w:rFonts w:ascii="微软雅黑" w:hAnsi="微软雅黑" w:eastAsia="微软雅黑" w:cs="微软雅黑"/>
          <w:sz w:val="24"/>
          <w:szCs w:val="24"/>
        </w:rPr>
        <w:t>——</w:t>
      </w:r>
      <w:r>
        <w:rPr>
          <w:rFonts w:hint="eastAsia" w:ascii="微软雅黑" w:hAnsi="微软雅黑" w:eastAsia="微软雅黑" w:cs="微软雅黑"/>
          <w:sz w:val="24"/>
          <w:szCs w:val="24"/>
        </w:rPr>
        <w:t>企业价值风险控制</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财务比率综合运用</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杜邦分解及财务比率金字塔</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财务比率指标自动分析表格</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财务报表综合解读：综合运用财务指标透视公司运作</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四、</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现金流量表分析</w:t>
      </w:r>
      <w:r>
        <w:rPr>
          <w:rFonts w:ascii="微软雅黑" w:hAnsi="微软雅黑" w:eastAsia="微软雅黑" w:cs="微软雅黑"/>
          <w:sz w:val="24"/>
          <w:szCs w:val="24"/>
        </w:rPr>
        <w:t>——</w:t>
      </w:r>
      <w:r>
        <w:rPr>
          <w:rFonts w:hint="eastAsia" w:ascii="微软雅黑" w:hAnsi="微软雅黑" w:eastAsia="微软雅黑" w:cs="微软雅黑"/>
          <w:sz w:val="24"/>
          <w:szCs w:val="24"/>
        </w:rPr>
        <w:t>现金风险控制</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现金流量表的关键编制逻辑</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企业的</w:t>
      </w:r>
      <w:r>
        <w:rPr>
          <w:rFonts w:ascii="微软雅黑" w:hAnsi="微软雅黑" w:eastAsia="微软雅黑" w:cs="微软雅黑"/>
          <w:sz w:val="24"/>
          <w:szCs w:val="24"/>
        </w:rPr>
        <w:t>3</w:t>
      </w:r>
      <w:r>
        <w:rPr>
          <w:rFonts w:hint="eastAsia" w:ascii="微软雅黑" w:hAnsi="微软雅黑" w:eastAsia="微软雅黑" w:cs="微软雅黑"/>
          <w:sz w:val="24"/>
          <w:szCs w:val="24"/>
        </w:rPr>
        <w:t>大现金活动分析</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从不同现金活动之间的关联关系看企业运作及风险</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从现金流量表各种比例关系看企业运作及风险</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现金流量表数据同资产负债表、损益表数据的结合分析</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经营活动流量的直接法和间接法的管理分析作用</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五、</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股东回报系统的</w:t>
      </w:r>
      <w:r>
        <w:rPr>
          <w:rFonts w:ascii="微软雅黑" w:hAnsi="微软雅黑" w:eastAsia="微软雅黑" w:cs="微软雅黑"/>
          <w:sz w:val="24"/>
          <w:szCs w:val="24"/>
        </w:rPr>
        <w:t>6</w:t>
      </w:r>
      <w:r>
        <w:rPr>
          <w:rFonts w:hint="eastAsia" w:ascii="微软雅黑" w:hAnsi="微软雅黑" w:eastAsia="微软雅黑" w:cs="微软雅黑"/>
          <w:sz w:val="24"/>
          <w:szCs w:val="24"/>
        </w:rPr>
        <w:t>环分解</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利润回报：少花钱，多赚钱！</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加速周转：少占用钱，多收钱！</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融资策略：占用谁的钱？</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利息成本：占用银行钱的成本！</w:t>
      </w:r>
    </w:p>
    <w:p>
      <w:pPr>
        <w:rPr>
          <w:rFonts w:ascii="微软雅黑" w:hAnsi="微软雅黑" w:eastAsia="微软雅黑" w:cs="Times New Roman"/>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营业外事件：非正常因素的影响！</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社会成本：合理纳税</w:t>
      </w:r>
    </w:p>
    <w:p>
      <w:pPr>
        <w:rPr>
          <w:rFonts w:ascii="微软雅黑" w:hAnsi="微软雅黑" w:eastAsia="微软雅黑" w:cs="Times New Roman"/>
          <w:sz w:val="24"/>
          <w:szCs w:val="24"/>
        </w:rPr>
      </w:pPr>
      <w:r>
        <w:rPr>
          <w:rFonts w:hint="eastAsia" w:ascii="微软雅黑" w:hAnsi="微软雅黑" w:eastAsia="微软雅黑" w:cs="微软雅黑"/>
          <w:b/>
          <w:bCs/>
          <w:sz w:val="24"/>
          <w:szCs w:val="24"/>
        </w:rPr>
        <w:t>黄俭老师资历</w:t>
      </w:r>
      <w:r>
        <w:rPr>
          <w:rFonts w:hint="eastAsia" w:ascii="微软雅黑" w:hAnsi="微软雅黑" w:eastAsia="微软雅黑" w:cs="微软雅黑"/>
          <w:sz w:val="24"/>
          <w:szCs w:val="24"/>
        </w:rPr>
        <w:t>：中国首届企业管理咨询师，高级会计师、有多年大型企业集团高级财务管理经验和十年的培训咨询经验。黄老师目前是蓝草企业管理咨询有限公司首席财务讲师上海企业家协会特聘财务讲师。</w:t>
      </w:r>
    </w:p>
    <w:p>
      <w:pPr>
        <w:rPr>
          <w:rFonts w:ascii="微软雅黑" w:hAnsi="微软雅黑" w:eastAsia="微软雅黑" w:cs="Times New Roman"/>
          <w:sz w:val="24"/>
          <w:szCs w:val="24"/>
        </w:rPr>
      </w:pPr>
      <w:r>
        <w:rPr>
          <w:rFonts w:hint="eastAsia" w:ascii="微软雅黑" w:hAnsi="微软雅黑" w:eastAsia="微软雅黑" w:cs="微软雅黑"/>
          <w:b/>
          <w:bCs/>
          <w:sz w:val="24"/>
          <w:szCs w:val="24"/>
        </w:rPr>
        <w:t>黄老师背景：</w:t>
      </w:r>
      <w:r>
        <w:rPr>
          <w:rFonts w:hint="eastAsia" w:ascii="微软雅黑" w:hAnsi="微软雅黑" w:eastAsia="微软雅黑" w:cs="微软雅黑"/>
          <w:sz w:val="24"/>
          <w:szCs w:val="24"/>
        </w:rPr>
        <w:t>多年的实战经验，让他把繁琐的财务工作讲解通俗易懂，让非财务人员快速成为理财行家！黄老师曾在大中华集团公司，河南羚锐股份有限公司，圣象集团担任财务经理。</w:t>
      </w:r>
    </w:p>
    <w:p>
      <w:pPr>
        <w:rPr>
          <w:rFonts w:ascii="微软雅黑" w:hAnsi="微软雅黑" w:eastAsia="微软雅黑" w:cs="Times New Roman"/>
          <w:sz w:val="24"/>
          <w:szCs w:val="24"/>
        </w:rPr>
      </w:pPr>
      <w:r>
        <w:rPr>
          <w:rFonts w:hint="eastAsia" w:ascii="微软雅黑" w:hAnsi="微软雅黑" w:eastAsia="微软雅黑" w:cs="微软雅黑"/>
          <w:b/>
          <w:bCs/>
          <w:sz w:val="24"/>
          <w:szCs w:val="24"/>
        </w:rPr>
        <w:t>黄老师主讲课程：《</w:t>
      </w:r>
      <w:r>
        <w:rPr>
          <w:rFonts w:hint="eastAsia" w:ascii="微软雅黑" w:hAnsi="微软雅黑" w:eastAsia="微软雅黑" w:cs="微软雅黑"/>
          <w:sz w:val="24"/>
          <w:szCs w:val="24"/>
        </w:rPr>
        <w:t>总经理的财务管理》、《财务报表解读与分析》、《非财务经理的财务管理》、《内部控制及风险管理》、《</w:t>
      </w:r>
      <w:r>
        <w:rPr>
          <w:rFonts w:ascii="微软雅黑" w:hAnsi="微软雅黑" w:eastAsia="微软雅黑" w:cs="微软雅黑"/>
          <w:sz w:val="24"/>
          <w:szCs w:val="24"/>
        </w:rPr>
        <w:t>EVA</w:t>
      </w:r>
      <w:r>
        <w:rPr>
          <w:rFonts w:hint="eastAsia" w:ascii="微软雅黑" w:hAnsi="微软雅黑" w:eastAsia="微软雅黑" w:cs="微软雅黑"/>
          <w:sz w:val="24"/>
          <w:szCs w:val="24"/>
        </w:rPr>
        <w:t>》、《成本会计》、《全面质量成本管理》、《税务策划与税务管理》、《全面预算管理与控制》、《成本控制与分析》</w:t>
      </w:r>
    </w:p>
    <w:p>
      <w:pPr>
        <w:rPr>
          <w:rFonts w:ascii="微软雅黑" w:hAnsi="微软雅黑" w:eastAsia="微软雅黑" w:cs="Times New Roman"/>
          <w:sz w:val="24"/>
          <w:szCs w:val="24"/>
        </w:rPr>
      </w:pPr>
      <w:r>
        <w:rPr>
          <w:rFonts w:hint="eastAsia" w:ascii="微软雅黑" w:hAnsi="微软雅黑" w:eastAsia="微软雅黑" w:cs="微软雅黑"/>
          <w:b/>
          <w:bCs/>
          <w:sz w:val="24"/>
          <w:szCs w:val="24"/>
        </w:rPr>
        <w:t>培训过的客户中知名公司：</w:t>
      </w:r>
      <w:r>
        <w:rPr>
          <w:rFonts w:hint="eastAsia" w:ascii="微软雅黑" w:hAnsi="微软雅黑" w:eastAsia="微软雅黑" w:cs="微软雅黑"/>
          <w:sz w:val="24"/>
          <w:szCs w:val="24"/>
        </w:rPr>
        <w:t>武钢、际华国际、中国国航、宁德时代、东风汽车、广本汽车、虹桥机场、欧姆龙国际、上海市政府下属发改委等单位。</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推荐理由</w:t>
      </w:r>
      <w:r>
        <w:rPr>
          <w:rFonts w:ascii="微软雅黑" w:hAnsi="微软雅黑" w:eastAsia="微软雅黑" w:cs="微软雅黑"/>
          <w:sz w:val="24"/>
          <w:szCs w:val="24"/>
        </w:rPr>
        <w:t>:</w:t>
      </w:r>
      <w:r>
        <w:rPr>
          <w:rFonts w:hint="eastAsia" w:ascii="微软雅黑" w:hAnsi="微软雅黑" w:eastAsia="微软雅黑" w:cs="微软雅黑"/>
          <w:sz w:val="24"/>
          <w:szCs w:val="24"/>
        </w:rPr>
        <w:t>黄老师分享都是干货，内容实战又不缺乏幽默；课程突出实用性、故事性、新鲜性和幽默性。通过一系列财务管理案例剖析点评，使企业管理人员快速掌握一些财务管理先进理念，分析技巧、提高解决问题的能力。</w:t>
      </w:r>
    </w:p>
    <w:p>
      <w:pPr>
        <w:rPr>
          <w:rFonts w:ascii="微软雅黑" w:hAnsi="微软雅黑" w:eastAsia="微软雅黑" w:cs="Times New Roman"/>
          <w:sz w:val="24"/>
          <w:szCs w:val="24"/>
        </w:rPr>
      </w:pPr>
    </w:p>
    <w:p>
      <w:pPr>
        <w:rPr>
          <w:rFonts w:ascii="微软雅黑" w:hAnsi="微软雅黑" w:eastAsia="微软雅黑" w:cs="Times New Roman"/>
          <w:sz w:val="24"/>
          <w:szCs w:val="2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19"/>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8"/>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7"/>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pPr>
        <w:rPr>
          <w:rFonts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0000000000000000000"/>
    <w:charset w:val="86"/>
    <w:family w:val="auto"/>
    <w:pitch w:val="default"/>
    <w:sig w:usb0="00000000" w:usb1="00000000" w:usb2="00000010" w:usb3="00000000" w:csb0="00040000" w:csb1="00000000"/>
  </w:font>
  <w:font w:name="Microsoft YaHei UI">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行楷">
    <w:altName w:val="微软雅黑"/>
    <w:panose1 w:val="0201080004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color w:val="00B0F0"/>
      </w:rPr>
    </w:pPr>
    <w:r>
      <w:pict>
        <v:rect id="文本框 4" o:spid="_x0000_s4099" o:spt="1" style="position:absolute;left:0pt;margin-left:177.95pt;margin-top:4.15pt;height:31.2pt;width:276.1pt;z-index:251661312;mso-width-relative:page;mso-height-relative:page;" o:preferrelative="t" stroked="f" coordsize="21600,21600">
          <v:path/>
          <v:fill focussize="0,0"/>
          <v:stroke on="f"/>
          <v:imagedata o:title=""/>
          <o:lock v:ext="edit"/>
          <v:textbox>
            <w:txbxContent>
              <w:p>
                <w:pPr>
                  <w:pStyle w:val="5"/>
                  <w:rPr>
                    <w:rFonts w:ascii="华文行楷" w:eastAsia="微软雅黑" w:cs="Times New Roman"/>
                    <w:b/>
                    <w:bCs/>
                    <w:color w:val="00B0F0"/>
                    <w:sz w:val="28"/>
                    <w:szCs w:val="28"/>
                  </w:rPr>
                </w:pPr>
              </w:p>
              <w:p>
                <w:pPr>
                  <w:rPr>
                    <w:rFonts w:cs="Times New Roman"/>
                  </w:rPr>
                </w:pPr>
              </w:p>
            </w:txbxContent>
          </v:textbox>
        </v:rect>
      </w:pict>
    </w:r>
    <w:r>
      <w:pict>
        <v:line id="直线连接符 3" o:spid="_x0000_s4100" o:spt="20" style="position:absolute;left:0pt;margin-left:-85.95pt;margin-top:-3.5pt;height:0.55pt;width:585pt;z-index:251660288;mso-width-relative:page;mso-height-relative:page;" o:preferrelative="t" stroked="t" coordsize="21600,21600">
          <v:path arrowok="t"/>
          <v:fill focussize="0,0"/>
          <v:stroke weight="1.75pt" color="#4A7DBA" miterlimit="2" dashstyle="longDashDot"/>
          <v:imagedata o:title=""/>
          <o:lock v:ext="edit"/>
        </v:line>
      </w:pic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szCs w:val="24"/>
      </w:rPr>
    </w:pPr>
    <w:r>
      <w:pict>
        <v:line id="直线连接符 2" o:spid="_x0000_s4098" o:spt="20" style="position:absolute;left:0pt;margin-left:-85.95pt;margin-top:17.65pt;height:0.05pt;width:585pt;z-index:251659264;mso-width-relative:page;mso-height-relative:page;" o:preferrelative="t" stroked="t" coordsize="21600,21600">
          <v:path arrowok="t"/>
          <v:fill focussize="0,0"/>
          <v:stroke weight="1.25pt" color="#17365D" miterlimit="2" dashstyle="1 1"/>
          <v:imagedata o:title=""/>
          <o:lock v:ext="edit"/>
        </v:line>
      </w:pict>
    </w:r>
    <w:r>
      <w:rPr>
        <w:rFonts w:eastAsia="微软雅黑"/>
        <w:color w:val="0000F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03003"/>
    <w:rsid w:val="0042048F"/>
    <w:rsid w:val="004279C2"/>
    <w:rsid w:val="00444909"/>
    <w:rsid w:val="004759B6"/>
    <w:rsid w:val="004B3B51"/>
    <w:rsid w:val="00546317"/>
    <w:rsid w:val="00551F01"/>
    <w:rsid w:val="00577A72"/>
    <w:rsid w:val="00585547"/>
    <w:rsid w:val="005B4BAE"/>
    <w:rsid w:val="006339D7"/>
    <w:rsid w:val="0068580A"/>
    <w:rsid w:val="00803FC0"/>
    <w:rsid w:val="008E00CF"/>
    <w:rsid w:val="0091450E"/>
    <w:rsid w:val="00944593"/>
    <w:rsid w:val="009B74C9"/>
    <w:rsid w:val="009F1362"/>
    <w:rsid w:val="00AB3A77"/>
    <w:rsid w:val="00B05CFB"/>
    <w:rsid w:val="00B944D8"/>
    <w:rsid w:val="00C473A3"/>
    <w:rsid w:val="00CD04FE"/>
    <w:rsid w:val="00D46862"/>
    <w:rsid w:val="00D47868"/>
    <w:rsid w:val="00DA7308"/>
    <w:rsid w:val="00F307A5"/>
    <w:rsid w:val="00FA3F21"/>
    <w:rsid w:val="04354938"/>
    <w:rsid w:val="06D7261E"/>
    <w:rsid w:val="06DA7701"/>
    <w:rsid w:val="089E748E"/>
    <w:rsid w:val="08B42259"/>
    <w:rsid w:val="09093D0E"/>
    <w:rsid w:val="09497C15"/>
    <w:rsid w:val="0A962E06"/>
    <w:rsid w:val="0B1D2825"/>
    <w:rsid w:val="0D29619B"/>
    <w:rsid w:val="120C5579"/>
    <w:rsid w:val="13333F19"/>
    <w:rsid w:val="14BB4887"/>
    <w:rsid w:val="150237C2"/>
    <w:rsid w:val="18AA49CE"/>
    <w:rsid w:val="1A3316B4"/>
    <w:rsid w:val="1E0846AD"/>
    <w:rsid w:val="1E9513D1"/>
    <w:rsid w:val="20EC73D6"/>
    <w:rsid w:val="22DA108A"/>
    <w:rsid w:val="24FE1C1A"/>
    <w:rsid w:val="277D3460"/>
    <w:rsid w:val="29216576"/>
    <w:rsid w:val="298835B8"/>
    <w:rsid w:val="2F20473C"/>
    <w:rsid w:val="308D0AF5"/>
    <w:rsid w:val="32971DC8"/>
    <w:rsid w:val="359F2EF3"/>
    <w:rsid w:val="3EC641CB"/>
    <w:rsid w:val="41FA4F75"/>
    <w:rsid w:val="42481139"/>
    <w:rsid w:val="4289324C"/>
    <w:rsid w:val="43105040"/>
    <w:rsid w:val="447174A0"/>
    <w:rsid w:val="44805770"/>
    <w:rsid w:val="454908B0"/>
    <w:rsid w:val="461A297D"/>
    <w:rsid w:val="48FA5DCE"/>
    <w:rsid w:val="49D11828"/>
    <w:rsid w:val="4ABE0178"/>
    <w:rsid w:val="4B9A0D61"/>
    <w:rsid w:val="4BB109CA"/>
    <w:rsid w:val="4BDD2F01"/>
    <w:rsid w:val="50E94570"/>
    <w:rsid w:val="526117B6"/>
    <w:rsid w:val="528637C2"/>
    <w:rsid w:val="53C95CF5"/>
    <w:rsid w:val="53D57E72"/>
    <w:rsid w:val="57662310"/>
    <w:rsid w:val="63352E4C"/>
    <w:rsid w:val="64CB7612"/>
    <w:rsid w:val="64D73B75"/>
    <w:rsid w:val="656F550D"/>
    <w:rsid w:val="671F55EB"/>
    <w:rsid w:val="693C314B"/>
    <w:rsid w:val="6AA221E0"/>
    <w:rsid w:val="6F0734F1"/>
    <w:rsid w:val="6FA974C0"/>
    <w:rsid w:val="6FC250A3"/>
    <w:rsid w:val="713E5EB9"/>
    <w:rsid w:val="71447BA1"/>
    <w:rsid w:val="729667EA"/>
    <w:rsid w:val="73D4664A"/>
    <w:rsid w:val="749B5A6C"/>
    <w:rsid w:val="79275512"/>
    <w:rsid w:val="7BA209E7"/>
    <w:rsid w:val="7D3A246D"/>
    <w:rsid w:val="7D741207"/>
    <w:rsid w:val="7FF92F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4">
    <w:name w:val="heading 3"/>
    <w:basedOn w:val="1"/>
    <w:next w:val="1"/>
    <w:link w:val="13"/>
    <w:qFormat/>
    <w:uiPriority w:val="99"/>
    <w:pPr>
      <w:keepNext/>
      <w:keepLines/>
      <w:spacing w:before="260" w:after="260" w:line="413" w:lineRule="auto"/>
      <w:outlineLvl w:val="2"/>
    </w:pPr>
    <w:rPr>
      <w:b/>
      <w:bCs/>
      <w:sz w:val="32"/>
      <w:szCs w:val="32"/>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qFormat/>
    <w:uiPriority w:val="99"/>
    <w:rPr>
      <w:color w:val="800080"/>
      <w:u w:val="single"/>
    </w:rPr>
  </w:style>
  <w:style w:type="character" w:styleId="11">
    <w:name w:val="Hyperlink"/>
    <w:basedOn w:val="9"/>
    <w:qFormat/>
    <w:uiPriority w:val="99"/>
    <w:rPr>
      <w:color w:val="0000FF"/>
      <w:u w:val="single"/>
    </w:rPr>
  </w:style>
  <w:style w:type="character" w:customStyle="1" w:styleId="12">
    <w:name w:val="Heading 1 Char"/>
    <w:basedOn w:val="9"/>
    <w:link w:val="3"/>
    <w:qFormat/>
    <w:locked/>
    <w:uiPriority w:val="99"/>
    <w:rPr>
      <w:rFonts w:ascii="Calibri" w:hAnsi="Calibri" w:cs="Calibri"/>
      <w:b/>
      <w:bCs/>
      <w:kern w:val="44"/>
      <w:sz w:val="44"/>
      <w:szCs w:val="44"/>
    </w:rPr>
  </w:style>
  <w:style w:type="character" w:customStyle="1" w:styleId="13">
    <w:name w:val="Heading 3 Char"/>
    <w:basedOn w:val="9"/>
    <w:link w:val="4"/>
    <w:semiHidden/>
    <w:qFormat/>
    <w:uiPriority w:val="9"/>
    <w:rPr>
      <w:rFonts w:ascii="Calibri" w:hAnsi="Calibri" w:cs="Calibri"/>
      <w:b/>
      <w:bCs/>
      <w:sz w:val="32"/>
      <w:szCs w:val="32"/>
    </w:rPr>
  </w:style>
  <w:style w:type="character" w:customStyle="1" w:styleId="14">
    <w:name w:val="Footer Char"/>
    <w:basedOn w:val="9"/>
    <w:link w:val="5"/>
    <w:semiHidden/>
    <w:qFormat/>
    <w:uiPriority w:val="99"/>
    <w:rPr>
      <w:rFonts w:ascii="Calibri" w:hAnsi="Calibri" w:cs="Calibri"/>
      <w:sz w:val="18"/>
      <w:szCs w:val="18"/>
    </w:rPr>
  </w:style>
  <w:style w:type="character" w:customStyle="1" w:styleId="15">
    <w:name w:val="Header Char"/>
    <w:basedOn w:val="9"/>
    <w:link w:val="6"/>
    <w:qFormat/>
    <w:locked/>
    <w:uiPriority w:val="99"/>
    <w:rPr>
      <w:kern w:val="2"/>
      <w:sz w:val="22"/>
      <w:szCs w:val="22"/>
    </w:rPr>
  </w:style>
  <w:style w:type="paragraph" w:customStyle="1" w:styleId="16">
    <w:name w:val="列出段落1"/>
    <w:qFormat/>
    <w:uiPriority w:val="99"/>
    <w:pPr>
      <w:ind w:firstLine="420" w:firstLineChars="200"/>
    </w:pPr>
    <w:rPr>
      <w:rFonts w:ascii="Times New Roman" w:hAnsi="Times New Roman" w:eastAsia="宋体" w:cs="Times New Roman"/>
      <w:kern w:val="0"/>
      <w:sz w:val="20"/>
      <w:szCs w:val="20"/>
      <w:lang w:val="en-US" w:eastAsia="zh-CN" w:bidi="ar-SA"/>
    </w:rPr>
  </w:style>
  <w:style w:type="paragraph" w:customStyle="1" w:styleId="17">
    <w:name w:val="No Spacing1"/>
    <w:qFormat/>
    <w:uiPriority w:val="99"/>
    <w:rPr>
      <w:rFonts w:ascii="DengXian" w:hAnsi="DengXian" w:eastAsia="Microsoft YaHei UI" w:cs="DengXian"/>
      <w:kern w:val="0"/>
      <w:sz w:val="22"/>
      <w:szCs w:val="22"/>
      <w:lang w:val="en-US" w:eastAsia="zh-CN" w:bidi="ar-SA"/>
    </w:rPr>
  </w:style>
  <w:style w:type="paragraph" w:customStyle="1" w:styleId="18">
    <w:name w:val="List Paragraph1"/>
    <w:basedOn w:val="1"/>
    <w:qFormat/>
    <w:uiPriority w:val="99"/>
    <w:pPr>
      <w:ind w:firstLine="420" w:firstLineChars="200"/>
    </w:pPr>
  </w:style>
  <w:style w:type="paragraph" w:customStyle="1" w:styleId="19">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Pages>
  <Words>1966</Words>
  <Characters>2046</Characters>
  <Lines>0</Lines>
  <Paragraphs>0</Paragraphs>
  <TotalTime>7</TotalTime>
  <ScaleCrop>false</ScaleCrop>
  <LinksUpToDate>false</LinksUpToDate>
  <CharactersWithSpaces>2148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hh2297</cp:lastModifiedBy>
  <dcterms:modified xsi:type="dcterms:W3CDTF">2022-03-01T05:21:36Z</dcterms:modified>
  <dc:title>方便选课-按岗位为您蓄能企业岗位培训项目分类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4F23B0B92E514245A7FE1CDABF502089</vt:lpwstr>
  </property>
</Properties>
</file>