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numPr>
          <w:ilvl w:val="0"/>
          <w:numId w:val="0"/>
        </w:numPr>
        <w:spacing w:line="360" w:lineRule="auto"/>
        <w:ind w:leftChars="0"/>
        <w:rPr>
          <w:rFonts w:ascii="仿宋" w:hAnsi="仿宋" w:eastAsia="微软雅黑" w:cs="Times New Roman"/>
          <w:b/>
          <w:bCs/>
          <w:sz w:val="24"/>
          <w:szCs w:val="24"/>
        </w:rPr>
      </w:pPr>
      <w:r>
        <w:rPr>
          <w:rFonts w:ascii="仿宋" w:hAnsi="仿宋" w:eastAsia="微软雅黑" w:cs="仿宋"/>
          <w:b/>
          <w:bCs/>
          <w:sz w:val="24"/>
          <w:szCs w:val="24"/>
        </w:rPr>
        <w:t>20</w:t>
      </w:r>
      <w:r>
        <w:rPr>
          <w:rFonts w:hint="eastAsia" w:ascii="仿宋" w:hAnsi="仿宋" w:eastAsia="微软雅黑" w:cs="仿宋"/>
          <w:b/>
          <w:bCs/>
          <w:sz w:val="24"/>
          <w:szCs w:val="24"/>
          <w:lang w:val="en-US" w:eastAsia="zh-CN"/>
        </w:rPr>
        <w:t>22</w:t>
      </w:r>
      <w:r>
        <w:rPr>
          <w:rFonts w:hint="eastAsia" w:ascii="仿宋" w:hAnsi="仿宋" w:eastAsia="微软雅黑" w:cs="微软雅黑"/>
          <w:b/>
          <w:bCs/>
          <w:sz w:val="24"/>
          <w:szCs w:val="24"/>
        </w:rPr>
        <w:t>《全面预算管理与控制》课程大纲及开课计划</w:t>
      </w:r>
    </w:p>
    <w:p>
      <w:pPr>
        <w:spacing w:line="276" w:lineRule="auto"/>
        <w:jc w:val="left"/>
        <w:rPr>
          <w:rFonts w:ascii="微软雅黑" w:hAnsi="微软雅黑" w:eastAsia="微软雅黑" w:cs="微软雅黑"/>
          <w:b/>
          <w:bCs/>
          <w:color w:val="000000"/>
          <w:sz w:val="24"/>
          <w:szCs w:val="24"/>
        </w:rPr>
      </w:pPr>
      <w:r>
        <w:rPr>
          <w:rFonts w:hint="eastAsia" w:ascii="仿宋" w:hAnsi="仿宋" w:eastAsia="微软雅黑" w:cs="微软雅黑"/>
          <w:b/>
          <w:bCs/>
          <w:sz w:val="24"/>
          <w:szCs w:val="24"/>
        </w:rPr>
        <w:t>课程</w:t>
      </w:r>
      <w:r>
        <w:rPr>
          <w:rFonts w:hint="eastAsia" w:eastAsia="微软雅黑" w:cs="微软雅黑"/>
          <w:b/>
          <w:bCs/>
          <w:sz w:val="24"/>
          <w:szCs w:val="24"/>
        </w:rPr>
        <w:t>价格：</w:t>
      </w:r>
      <w:r>
        <w:rPr>
          <w:rFonts w:eastAsia="微软雅黑"/>
          <w:b/>
          <w:bCs/>
          <w:sz w:val="24"/>
          <w:szCs w:val="24"/>
        </w:rPr>
        <w:t>4</w:t>
      </w:r>
      <w:r>
        <w:rPr>
          <w:rFonts w:hint="eastAsia" w:eastAsia="微软雅黑"/>
          <w:b/>
          <w:bCs/>
          <w:sz w:val="24"/>
          <w:szCs w:val="24"/>
          <w:lang w:val="en-US" w:eastAsia="zh-CN"/>
        </w:rPr>
        <w:t>8</w:t>
      </w:r>
      <w:r>
        <w:rPr>
          <w:rFonts w:eastAsia="微软雅黑"/>
          <w:b/>
          <w:bCs/>
          <w:sz w:val="24"/>
          <w:szCs w:val="24"/>
        </w:rPr>
        <w:t>80</w:t>
      </w:r>
      <w:r>
        <w:rPr>
          <w:rFonts w:hint="eastAsia" w:eastAsia="微软雅黑" w:cs="微软雅黑"/>
          <w:b/>
          <w:bCs/>
          <w:sz w:val="24"/>
          <w:szCs w:val="24"/>
        </w:rPr>
        <w:t>（</w:t>
      </w:r>
      <w:r>
        <w:rPr>
          <w:rFonts w:hint="eastAsia" w:ascii="微软雅黑" w:hAnsi="微软雅黑" w:eastAsia="微软雅黑" w:cs="微软雅黑"/>
          <w:b/>
          <w:bCs/>
          <w:sz w:val="24"/>
          <w:szCs w:val="24"/>
          <w:lang w:val="zh-CN"/>
        </w:rPr>
        <w:t>含授课费、资料费、午餐费</w:t>
      </w:r>
      <w:r>
        <w:rPr>
          <w:rFonts w:hint="eastAsia" w:eastAsia="微软雅黑" w:cs="微软雅黑"/>
          <w:b/>
          <w:bCs/>
          <w:sz w:val="24"/>
          <w:szCs w:val="24"/>
        </w:rPr>
        <w:t>）</w:t>
      </w:r>
      <w:r>
        <w:rPr>
          <w:rFonts w:ascii="微软雅黑" w:hAnsi="微软雅黑" w:eastAsia="微软雅黑" w:cs="微软雅黑"/>
          <w:b/>
          <w:bCs/>
          <w:color w:val="000000"/>
          <w:sz w:val="24"/>
          <w:szCs w:val="24"/>
        </w:rPr>
        <w:t xml:space="preserve">     </w:t>
      </w:r>
    </w:p>
    <w:tbl>
      <w:tblPr>
        <w:tblStyle w:val="8"/>
        <w:tblW w:w="8430" w:type="dxa"/>
        <w:tblInd w:w="0" w:type="dxa"/>
        <w:shd w:val="clear" w:color="auto" w:fill="auto"/>
        <w:tblLayout w:type="autofit"/>
        <w:tblCellMar>
          <w:top w:w="0" w:type="dxa"/>
          <w:left w:w="0" w:type="dxa"/>
          <w:bottom w:w="0" w:type="dxa"/>
          <w:right w:w="0" w:type="dxa"/>
        </w:tblCellMar>
      </w:tblPr>
      <w:tblGrid>
        <w:gridCol w:w="660"/>
        <w:gridCol w:w="555"/>
        <w:gridCol w:w="555"/>
        <w:gridCol w:w="660"/>
        <w:gridCol w:w="660"/>
        <w:gridCol w:w="555"/>
        <w:gridCol w:w="555"/>
        <w:gridCol w:w="660"/>
        <w:gridCol w:w="555"/>
        <w:gridCol w:w="735"/>
        <w:gridCol w:w="780"/>
        <w:gridCol w:w="750"/>
        <w:gridCol w:w="750"/>
      </w:tblGrid>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ascii="微软雅黑" w:hAnsi="微软雅黑" w:eastAsia="微软雅黑" w:cs="微软雅黑"/>
                <w:i w:val="0"/>
                <w:color w:val="000000"/>
                <w:sz w:val="20"/>
                <w:szCs w:val="20"/>
                <w:u w:val="none"/>
              </w:rPr>
            </w:pPr>
            <w:bookmarkStart w:id="0" w:name="_GoBack" w:colFirst="0" w:colLast="12"/>
            <w:r>
              <w:rPr>
                <w:rFonts w:hint="eastAsia" w:ascii="微软雅黑" w:hAnsi="微软雅黑" w:eastAsia="微软雅黑" w:cs="微软雅黑"/>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both"/>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p>
        </w:tc>
      </w:tr>
      <w:bookmarkEnd w:id="0"/>
    </w:tbl>
    <w:p>
      <w:pPr>
        <w:rPr>
          <w:rFonts w:hint="default" w:ascii="微软雅黑" w:hAnsi="微软雅黑" w:eastAsia="微软雅黑" w:cs="微软雅黑"/>
          <w:sz w:val="24"/>
          <w:szCs w:val="24"/>
          <w:lang w:val="en-US" w:eastAsia="zh-CN"/>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000000"/>
        </w:rPr>
        <w:t>课程背景：</w:t>
      </w:r>
    </w:p>
    <w:p>
      <w:pPr>
        <w:pStyle w:val="7"/>
        <w:spacing w:before="0" w:beforeAutospacing="0" w:after="0" w:afterAutospacing="0" w:line="460" w:lineRule="exact"/>
        <w:ind w:firstLine="480" w:firstLineChars="200"/>
        <w:rPr>
          <w:rFonts w:ascii="微软雅黑" w:hAnsi="微软雅黑" w:eastAsia="微软雅黑" w:cs="Times New Roman"/>
        </w:rPr>
      </w:pPr>
      <w:r>
        <w:rPr>
          <w:rFonts w:hint="eastAsia" w:ascii="微软雅黑" w:hAnsi="微软雅黑" w:eastAsia="微软雅黑" w:cs="微软雅黑"/>
        </w:rPr>
        <w:t>企业全面预算管理的重要性已不言而喻，它已经成为企业管理不可或缺的手段，从当前全面预算管理的成功实践看</w:t>
      </w:r>
      <w:r>
        <w:rPr>
          <w:rFonts w:ascii="微软雅黑" w:hAnsi="微软雅黑" w:eastAsia="微软雅黑" w:cs="微软雅黑"/>
        </w:rPr>
        <w:t>,</w:t>
      </w:r>
      <w:r>
        <w:rPr>
          <w:rFonts w:hint="eastAsia" w:ascii="微软雅黑" w:hAnsi="微软雅黑" w:eastAsia="微软雅黑" w:cs="微软雅黑"/>
        </w:rPr>
        <w:t>全面预算不仅仅是一个由预算规划．编制．执行．控制所组成的管理过程，更是一个将企业绩效管理和企业战略执行力有效结合的系统管理工具，一个优化和完善战略执行和提升综合管理的最平常又最核心的管理工作。通过严格地实行全面预算管理，最大可能的降低支出提升企业利润，是每一个企业最为关心的重大实际问题。</w:t>
      </w:r>
    </w:p>
    <w:p>
      <w:pPr>
        <w:pStyle w:val="7"/>
        <w:spacing w:before="0" w:beforeAutospacing="0" w:after="0" w:afterAutospacing="0" w:line="460" w:lineRule="exact"/>
        <w:ind w:firstLine="480" w:firstLineChars="200"/>
        <w:rPr>
          <w:rFonts w:ascii="微软雅黑" w:hAnsi="微软雅黑" w:eastAsia="微软雅黑" w:cs="Times New Roman"/>
        </w:rPr>
      </w:pPr>
      <w:r>
        <w:rPr>
          <w:rFonts w:hint="eastAsia" w:ascii="微软雅黑" w:hAnsi="微软雅黑" w:eastAsia="微软雅黑" w:cs="微软雅黑"/>
        </w:rPr>
        <w:t>本课程将通过理论讲解与实践操作手法演示，并结合具体的国内实例分析更直观．更生动．更易接受地让学员学习和掌握如下问题：如何编制合理的预算，并使预算得到有效的实施</w:t>
      </w:r>
      <w:r>
        <w:rPr>
          <w:rFonts w:ascii="微软雅黑" w:hAnsi="微软雅黑" w:eastAsia="微软雅黑" w:cs="微软雅黑"/>
        </w:rPr>
        <w:t>?</w:t>
      </w:r>
      <w:r>
        <w:rPr>
          <w:rFonts w:hint="eastAsia" w:ascii="微软雅黑" w:hAnsi="微软雅黑" w:eastAsia="微软雅黑" w:cs="微软雅黑"/>
        </w:rPr>
        <w:t>如何结合企业的自身状况设计控制要点</w:t>
      </w:r>
      <w:r>
        <w:rPr>
          <w:rFonts w:ascii="微软雅黑" w:hAnsi="微软雅黑" w:eastAsia="微软雅黑" w:cs="微软雅黑"/>
        </w:rPr>
        <w:t>;</w:t>
      </w:r>
      <w:r>
        <w:rPr>
          <w:rFonts w:hint="eastAsia" w:ascii="微软雅黑" w:hAnsi="微软雅黑" w:eastAsia="微软雅黑" w:cs="微软雅黑"/>
        </w:rPr>
        <w:t>建立适合企业自身情况的内部控制系统</w:t>
      </w:r>
      <w:r>
        <w:rPr>
          <w:rFonts w:ascii="微软雅黑" w:hAnsi="微软雅黑" w:eastAsia="微软雅黑" w:cs="微软雅黑"/>
        </w:rPr>
        <w:t>;</w:t>
      </w:r>
      <w:r>
        <w:rPr>
          <w:rFonts w:hint="eastAsia" w:ascii="微软雅黑" w:hAnsi="微软雅黑" w:eastAsia="微软雅黑" w:cs="微软雅黑"/>
        </w:rPr>
        <w:t>充分运用预算这一管理工具控制公司的整体运作。</w:t>
      </w:r>
    </w:p>
    <w:p>
      <w:pPr>
        <w:pStyle w:val="7"/>
        <w:spacing w:before="0" w:beforeAutospacing="0" w:after="0" w:afterAutospacing="0" w:line="460" w:lineRule="exact"/>
        <w:rPr>
          <w:rFonts w:ascii="微软雅黑" w:hAnsi="微软雅黑" w:eastAsia="微软雅黑" w:cs="Times New Roman"/>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365F90"/>
        </w:rPr>
        <w:t>课程收益：</w:t>
      </w:r>
    </w:p>
    <w:p>
      <w:pPr>
        <w:pStyle w:val="7"/>
        <w:spacing w:before="0" w:beforeAutospacing="0" w:after="0" w:afterAutospacing="0" w:line="460" w:lineRule="exact"/>
        <w:rPr>
          <w:rFonts w:ascii="微软雅黑" w:hAnsi="微软雅黑" w:eastAsia="微软雅黑" w:cs="Times New Roman"/>
        </w:rPr>
      </w:pPr>
      <w:r>
        <w:rPr>
          <w:rFonts w:ascii="微软雅黑" w:hAnsi="微软雅黑" w:eastAsia="微软雅黑" w:cs="微软雅黑"/>
        </w:rPr>
        <w:t>1</w:t>
      </w:r>
      <w:r>
        <w:rPr>
          <w:rFonts w:hint="eastAsia" w:ascii="微软雅黑" w:hAnsi="微软雅黑" w:eastAsia="微软雅黑" w:cs="微软雅黑"/>
        </w:rPr>
        <w:t>．理清对全面预算的认识与功能定位，了解预算的意义；</w:t>
      </w:r>
    </w:p>
    <w:p>
      <w:pPr>
        <w:pStyle w:val="7"/>
        <w:spacing w:before="0" w:beforeAutospacing="0" w:after="0" w:afterAutospacing="0" w:line="460" w:lineRule="exact"/>
        <w:rPr>
          <w:rFonts w:ascii="微软雅黑" w:hAnsi="微软雅黑" w:eastAsia="微软雅黑" w:cs="Times New Roman"/>
        </w:rPr>
      </w:pPr>
      <w:r>
        <w:rPr>
          <w:rFonts w:ascii="微软雅黑" w:hAnsi="微软雅黑" w:eastAsia="微软雅黑" w:cs="微软雅黑"/>
        </w:rPr>
        <w:t>2</w:t>
      </w:r>
      <w:r>
        <w:rPr>
          <w:rFonts w:hint="eastAsia" w:ascii="微软雅黑" w:hAnsi="微软雅黑" w:eastAsia="微软雅黑" w:cs="微软雅黑"/>
        </w:rPr>
        <w:t>．了解公司预算与各部门工作的关系，调动各阶层协同反应能力，谋求整体利益最大化；</w:t>
      </w:r>
    </w:p>
    <w:p>
      <w:pPr>
        <w:pStyle w:val="7"/>
        <w:spacing w:before="0" w:beforeAutospacing="0" w:after="0" w:afterAutospacing="0" w:line="460" w:lineRule="exact"/>
        <w:rPr>
          <w:rFonts w:ascii="微软雅黑" w:hAnsi="微软雅黑" w:eastAsia="微软雅黑" w:cs="Times New Roman"/>
        </w:rPr>
      </w:pPr>
      <w:r>
        <w:rPr>
          <w:rFonts w:ascii="微软雅黑" w:hAnsi="微软雅黑" w:eastAsia="微软雅黑" w:cs="微软雅黑"/>
        </w:rPr>
        <w:t>3</w:t>
      </w:r>
      <w:r>
        <w:rPr>
          <w:rFonts w:hint="eastAsia" w:ascii="微软雅黑" w:hAnsi="微软雅黑" w:eastAsia="微软雅黑" w:cs="微软雅黑"/>
        </w:rPr>
        <w:t>．增强对预算过程的了解和编制技巧的认识</w:t>
      </w:r>
      <w:r>
        <w:rPr>
          <w:rFonts w:ascii="微软雅黑" w:hAnsi="微软雅黑" w:eastAsia="微软雅黑" w:cs="微软雅黑"/>
        </w:rPr>
        <w:t>,</w:t>
      </w:r>
      <w:r>
        <w:rPr>
          <w:rFonts w:hint="eastAsia" w:ascii="微软雅黑" w:hAnsi="微软雅黑" w:eastAsia="微软雅黑" w:cs="微软雅黑"/>
        </w:rPr>
        <w:t>学习预算管理和控制的实际操作；</w:t>
      </w:r>
    </w:p>
    <w:p>
      <w:pPr>
        <w:pStyle w:val="7"/>
        <w:spacing w:before="0" w:beforeAutospacing="0" w:after="0" w:afterAutospacing="0" w:line="460" w:lineRule="exact"/>
        <w:rPr>
          <w:rFonts w:ascii="微软雅黑" w:hAnsi="微软雅黑" w:eastAsia="微软雅黑" w:cs="Times New Roman"/>
        </w:rPr>
      </w:pPr>
      <w:r>
        <w:rPr>
          <w:rFonts w:ascii="微软雅黑" w:hAnsi="微软雅黑" w:eastAsia="微软雅黑" w:cs="微软雅黑"/>
        </w:rPr>
        <w:t>4</w:t>
      </w:r>
      <w:r>
        <w:rPr>
          <w:rFonts w:hint="eastAsia" w:ascii="微软雅黑" w:hAnsi="微软雅黑" w:eastAsia="微软雅黑" w:cs="微软雅黑"/>
        </w:rPr>
        <w:t>．确定企业当前的全面预算管理的重点和难点</w:t>
      </w:r>
      <w:r>
        <w:rPr>
          <w:rFonts w:ascii="微软雅黑" w:hAnsi="微软雅黑" w:eastAsia="微软雅黑" w:cs="微软雅黑"/>
        </w:rPr>
        <w:t>,</w:t>
      </w:r>
      <w:r>
        <w:rPr>
          <w:rFonts w:hint="eastAsia" w:ascii="微软雅黑" w:hAnsi="微软雅黑" w:eastAsia="微软雅黑" w:cs="微软雅黑"/>
        </w:rPr>
        <w:t>为实施预算控制奠定认识基础。</w:t>
      </w:r>
    </w:p>
    <w:p>
      <w:pPr>
        <w:pStyle w:val="7"/>
        <w:spacing w:before="0" w:beforeAutospacing="0" w:after="0" w:afterAutospacing="0" w:line="460" w:lineRule="exact"/>
        <w:rPr>
          <w:rFonts w:ascii="微软雅黑" w:hAnsi="微软雅黑" w:eastAsia="微软雅黑" w:cs="Times New Roman"/>
        </w:rPr>
      </w:pPr>
    </w:p>
    <w:p>
      <w:pPr>
        <w:pStyle w:val="7"/>
        <w:spacing w:before="0" w:beforeAutospacing="0" w:after="0" w:afterAutospacing="0" w:line="460" w:lineRule="exact"/>
        <w:rPr>
          <w:rFonts w:ascii="微软雅黑" w:hAnsi="微软雅黑" w:eastAsia="微软雅黑" w:cs="Times New Roman"/>
        </w:rPr>
      </w:pPr>
      <w:r>
        <w:rPr>
          <w:rFonts w:hint="eastAsia" w:ascii="微软雅黑" w:hAnsi="微软雅黑" w:eastAsia="微软雅黑" w:cs="微软雅黑"/>
          <w:b/>
          <w:bCs/>
          <w:color w:val="365F90"/>
        </w:rPr>
        <w:t>课程时间：</w:t>
      </w:r>
      <w:r>
        <w:rPr>
          <w:rFonts w:ascii="微软雅黑" w:hAnsi="微软雅黑" w:eastAsia="微软雅黑" w:cs="微软雅黑"/>
        </w:rPr>
        <w:t>2</w:t>
      </w:r>
      <w:r>
        <w:rPr>
          <w:rFonts w:hint="eastAsia" w:ascii="微软雅黑" w:hAnsi="微软雅黑" w:eastAsia="微软雅黑" w:cs="微软雅黑"/>
        </w:rPr>
        <w:t>天，</w:t>
      </w:r>
      <w:r>
        <w:rPr>
          <w:rFonts w:ascii="微软雅黑" w:hAnsi="微软雅黑" w:eastAsia="微软雅黑" w:cs="微软雅黑"/>
        </w:rPr>
        <w:t>6</w:t>
      </w:r>
      <w:r>
        <w:rPr>
          <w:rFonts w:hint="eastAsia" w:ascii="微软雅黑" w:hAnsi="微软雅黑" w:eastAsia="微软雅黑" w:cs="微软雅黑"/>
        </w:rPr>
        <w:t>小时</w:t>
      </w:r>
      <w:r>
        <w:rPr>
          <w:rFonts w:ascii="微软雅黑" w:hAnsi="微软雅黑" w:eastAsia="微软雅黑" w:cs="微软雅黑"/>
        </w:rPr>
        <w:t>/</w:t>
      </w:r>
      <w:r>
        <w:rPr>
          <w:rFonts w:hint="eastAsia" w:ascii="微软雅黑" w:hAnsi="微软雅黑" w:eastAsia="微软雅黑" w:cs="微软雅黑"/>
        </w:rPr>
        <w:t>天</w:t>
      </w:r>
    </w:p>
    <w:p>
      <w:pPr>
        <w:pStyle w:val="7"/>
        <w:spacing w:before="0" w:beforeAutospacing="0" w:after="0" w:afterAutospacing="0" w:line="460" w:lineRule="exact"/>
        <w:rPr>
          <w:rFonts w:ascii="微软雅黑" w:hAnsi="微软雅黑" w:eastAsia="微软雅黑" w:cs="Times New Roman"/>
        </w:rPr>
      </w:pPr>
      <w:r>
        <w:rPr>
          <w:rFonts w:hint="eastAsia" w:ascii="微软雅黑" w:hAnsi="微软雅黑" w:eastAsia="微软雅黑" w:cs="微软雅黑"/>
          <w:b/>
          <w:bCs/>
          <w:color w:val="365F90"/>
        </w:rPr>
        <w:t>授课对象：</w:t>
      </w:r>
      <w:r>
        <w:rPr>
          <w:rFonts w:hint="eastAsia" w:ascii="微软雅黑" w:hAnsi="微软雅黑" w:eastAsia="微软雅黑" w:cs="微软雅黑"/>
        </w:rPr>
        <w:t>本课程适于董事长、总经理、企业中高层管理者、财务总监、财务经理、各预算中心责任人各类企业的董事会成员．高中级管理层．各级财务管理人员，如集团主管财务的副总经理．总会计师．财务主管及其他管理人员等。</w:t>
      </w:r>
    </w:p>
    <w:p>
      <w:pPr>
        <w:widowControl/>
        <w:spacing w:line="460" w:lineRule="exact"/>
        <w:jc w:val="left"/>
        <w:rPr>
          <w:rFonts w:ascii="微软雅黑" w:hAnsi="微软雅黑" w:eastAsia="微软雅黑" w:cs="Times New Roman"/>
          <w:b/>
          <w:bCs/>
          <w:kern w:val="0"/>
          <w:sz w:val="24"/>
          <w:szCs w:val="24"/>
        </w:rPr>
      </w:pPr>
      <w:r>
        <w:rPr>
          <w:rFonts w:hint="eastAsia" w:ascii="微软雅黑" w:hAnsi="微软雅黑" w:eastAsia="微软雅黑" w:cs="微软雅黑"/>
          <w:b/>
          <w:bCs/>
          <w:color w:val="365F90"/>
          <w:kern w:val="0"/>
          <w:sz w:val="24"/>
          <w:szCs w:val="24"/>
        </w:rPr>
        <w:t>授课方式：</w:t>
      </w:r>
      <w:r>
        <w:rPr>
          <w:rFonts w:hint="eastAsia" w:ascii="微软雅黑" w:hAnsi="微软雅黑" w:eastAsia="微软雅黑" w:cs="微软雅黑"/>
          <w:kern w:val="0"/>
          <w:sz w:val="24"/>
          <w:szCs w:val="24"/>
        </w:rPr>
        <w:t>讲师讲授</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案例研讨</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现场实例演练</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讲师点评</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现场咨询与辅导</w:t>
      </w:r>
    </w:p>
    <w:p>
      <w:pPr>
        <w:pStyle w:val="7"/>
        <w:spacing w:before="0" w:beforeAutospacing="0" w:after="0" w:afterAutospacing="0" w:line="460" w:lineRule="exact"/>
        <w:jc w:val="center"/>
        <w:rPr>
          <w:rFonts w:ascii="微软雅黑" w:hAnsi="微软雅黑" w:eastAsia="微软雅黑" w:cs="Times New Roman"/>
          <w:b/>
          <w:bCs/>
          <w:color w:val="365F90"/>
        </w:rPr>
      </w:pPr>
    </w:p>
    <w:p>
      <w:pPr>
        <w:pStyle w:val="7"/>
        <w:spacing w:before="0" w:beforeAutospacing="0" w:after="0" w:afterAutospacing="0" w:line="460" w:lineRule="exact"/>
        <w:jc w:val="center"/>
        <w:rPr>
          <w:rFonts w:ascii="微软雅黑" w:hAnsi="微软雅黑" w:eastAsia="微软雅黑" w:cs="Times New Roman"/>
          <w:b/>
          <w:bCs/>
          <w:color w:val="365F90"/>
        </w:rPr>
      </w:pPr>
      <w:r>
        <w:rPr>
          <w:rFonts w:hint="eastAsia" w:ascii="微软雅黑" w:hAnsi="微软雅黑" w:eastAsia="微软雅黑" w:cs="微软雅黑"/>
          <w:b/>
          <w:bCs/>
          <w:color w:val="365F90"/>
        </w:rPr>
        <w:t>课程大纲</w:t>
      </w:r>
    </w:p>
    <w:p>
      <w:pPr>
        <w:spacing w:line="460" w:lineRule="exact"/>
        <w:rPr>
          <w:rFonts w:ascii="微软雅黑" w:hAnsi="微软雅黑" w:eastAsia="微软雅黑" w:cs="Times New Roman"/>
          <w:b/>
          <w:bCs/>
          <w:sz w:val="24"/>
          <w:szCs w:val="24"/>
        </w:rPr>
      </w:pPr>
      <w:r>
        <w:rPr>
          <w:rFonts w:hint="eastAsia" w:ascii="微软雅黑" w:hAnsi="微软雅黑" w:eastAsia="微软雅黑" w:cs="微软雅黑"/>
          <w:b/>
          <w:bCs/>
          <w:sz w:val="24"/>
          <w:szCs w:val="24"/>
        </w:rPr>
        <w:t>前言：</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１．企业的规模多大合适？如：明年的销售越大越好吗？</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b/>
          <w:bCs/>
          <w:sz w:val="24"/>
          <w:szCs w:val="24"/>
        </w:rPr>
        <w:t>案例分析：</w:t>
      </w:r>
      <w:r>
        <w:rPr>
          <w:rFonts w:hint="eastAsia" w:ascii="微软雅黑" w:hAnsi="微软雅黑" w:eastAsia="微软雅黑" w:cs="微软雅黑"/>
          <w:sz w:val="24"/>
          <w:szCs w:val="24"/>
        </w:rPr>
        <w:t>销售的增长对企业的影响是什么？</w:t>
      </w:r>
    </w:p>
    <w:p>
      <w:pPr>
        <w:spacing w:line="460" w:lineRule="exact"/>
        <w:rPr>
          <w:rFonts w:ascii="微软雅黑" w:hAnsi="微软雅黑" w:eastAsia="微软雅黑" w:cs="Times New Roman"/>
          <w:sz w:val="24"/>
          <w:szCs w:val="24"/>
        </w:rPr>
      </w:pPr>
      <w:r>
        <w:rPr>
          <w:rFonts w:ascii="微软雅黑" w:hAnsi="微软雅黑" w:eastAsia="微软雅黑" w:cs="微软雅黑"/>
          <w:sz w:val="24"/>
          <w:szCs w:val="24"/>
        </w:rPr>
        <w:t>2</w:t>
      </w:r>
      <w:r>
        <w:rPr>
          <w:rFonts w:hint="eastAsia" w:ascii="微软雅黑" w:hAnsi="微软雅黑" w:eastAsia="微软雅黑" w:cs="微软雅黑"/>
          <w:sz w:val="24"/>
          <w:szCs w:val="24"/>
        </w:rPr>
        <w:t>．</w:t>
      </w:r>
      <w:r>
        <w:rPr>
          <w:rFonts w:ascii="微软雅黑" w:hAnsi="微软雅黑" w:eastAsia="微软雅黑" w:cs="Times New Roman"/>
          <w:sz w:val="24"/>
          <w:szCs w:val="24"/>
        </w:rPr>
        <w:tab/>
      </w:r>
      <w:r>
        <w:rPr>
          <w:rFonts w:hint="eastAsia" w:ascii="微软雅黑" w:hAnsi="微软雅黑" w:eastAsia="微软雅黑" w:cs="微软雅黑"/>
          <w:sz w:val="24"/>
          <w:szCs w:val="24"/>
        </w:rPr>
        <w:t>只有资金紧张的企业才需要预算吗？</w:t>
      </w:r>
    </w:p>
    <w:p>
      <w:pPr>
        <w:spacing w:line="460" w:lineRule="exact"/>
        <w:rPr>
          <w:rFonts w:ascii="微软雅黑" w:hAnsi="微软雅黑" w:eastAsia="微软雅黑" w:cs="Times New Roman"/>
          <w:sz w:val="24"/>
          <w:szCs w:val="24"/>
        </w:rPr>
      </w:pPr>
      <w:r>
        <w:rPr>
          <w:rFonts w:ascii="微软雅黑" w:hAnsi="微软雅黑" w:eastAsia="微软雅黑" w:cs="微软雅黑"/>
          <w:sz w:val="24"/>
          <w:szCs w:val="24"/>
        </w:rPr>
        <w:t>3</w:t>
      </w:r>
      <w:r>
        <w:rPr>
          <w:rFonts w:hint="eastAsia" w:ascii="微软雅黑" w:hAnsi="微软雅黑" w:eastAsia="微软雅黑" w:cs="微软雅黑"/>
          <w:sz w:val="24"/>
          <w:szCs w:val="24"/>
        </w:rPr>
        <w:t>．不知不觉的是群众，先知先觉是领导</w:t>
      </w:r>
    </w:p>
    <w:p>
      <w:pPr>
        <w:spacing w:line="460" w:lineRule="exact"/>
        <w:rPr>
          <w:rFonts w:ascii="微软雅黑" w:hAnsi="微软雅黑" w:eastAsia="微软雅黑" w:cs="Times New Roman"/>
          <w:sz w:val="24"/>
          <w:szCs w:val="24"/>
        </w:rPr>
      </w:pPr>
      <w:r>
        <w:rPr>
          <w:rFonts w:ascii="微软雅黑" w:hAnsi="微软雅黑" w:eastAsia="微软雅黑" w:cs="微软雅黑"/>
          <w:sz w:val="24"/>
          <w:szCs w:val="24"/>
        </w:rPr>
        <w:t>4</w:t>
      </w:r>
      <w:r>
        <w:rPr>
          <w:rFonts w:hint="eastAsia" w:ascii="微软雅黑" w:hAnsi="微软雅黑" w:eastAsia="微软雅黑" w:cs="微软雅黑"/>
          <w:sz w:val="24"/>
          <w:szCs w:val="24"/>
        </w:rPr>
        <w:t>．如何告别老板过去拉板车的时代？</w:t>
      </w:r>
    </w:p>
    <w:p>
      <w:pPr>
        <w:spacing w:line="460" w:lineRule="exact"/>
        <w:rPr>
          <w:rFonts w:ascii="微软雅黑" w:hAnsi="微软雅黑" w:eastAsia="微软雅黑" w:cs="Times New Roman"/>
          <w:sz w:val="24"/>
          <w:szCs w:val="24"/>
        </w:rPr>
      </w:pPr>
      <w:r>
        <w:rPr>
          <w:rFonts w:ascii="微软雅黑" w:hAnsi="微软雅黑" w:eastAsia="微软雅黑" w:cs="微软雅黑"/>
          <w:sz w:val="24"/>
          <w:szCs w:val="24"/>
        </w:rPr>
        <w:t>5</w:t>
      </w:r>
      <w:r>
        <w:rPr>
          <w:rFonts w:hint="eastAsia" w:ascii="微软雅黑" w:hAnsi="微软雅黑" w:eastAsia="微软雅黑" w:cs="微软雅黑"/>
          <w:sz w:val="24"/>
          <w:szCs w:val="24"/>
        </w:rPr>
        <w:t>．</w:t>
      </w:r>
      <w:r>
        <w:rPr>
          <w:rFonts w:ascii="微软雅黑" w:hAnsi="微软雅黑" w:eastAsia="微软雅黑" w:cs="Times New Roman"/>
          <w:sz w:val="24"/>
          <w:szCs w:val="24"/>
        </w:rPr>
        <w:tab/>
      </w:r>
      <w:r>
        <w:rPr>
          <w:rFonts w:hint="eastAsia" w:ascii="微软雅黑" w:hAnsi="微软雅黑" w:eastAsia="微软雅黑" w:cs="微软雅黑"/>
          <w:sz w:val="24"/>
          <w:szCs w:val="24"/>
        </w:rPr>
        <w:t>既成事实的管理都是无成效的管理</w:t>
      </w:r>
    </w:p>
    <w:p>
      <w:pPr>
        <w:spacing w:line="460" w:lineRule="exact"/>
        <w:rPr>
          <w:rFonts w:ascii="微软雅黑" w:hAnsi="微软雅黑" w:eastAsia="微软雅黑" w:cs="Times New Roman"/>
          <w:sz w:val="24"/>
          <w:szCs w:val="24"/>
        </w:rPr>
      </w:pPr>
      <w:r>
        <w:rPr>
          <w:rFonts w:ascii="微软雅黑" w:hAnsi="微软雅黑" w:eastAsia="微软雅黑" w:cs="微软雅黑"/>
          <w:sz w:val="24"/>
          <w:szCs w:val="24"/>
        </w:rPr>
        <w:t>6</w:t>
      </w:r>
      <w:r>
        <w:rPr>
          <w:rFonts w:hint="eastAsia" w:ascii="微软雅黑" w:hAnsi="微软雅黑" w:eastAsia="微软雅黑" w:cs="微软雅黑"/>
          <w:sz w:val="24"/>
          <w:szCs w:val="24"/>
        </w:rPr>
        <w:t>．老和尚为什么不再挑水？</w:t>
      </w:r>
    </w:p>
    <w:p>
      <w:pPr>
        <w:spacing w:line="460" w:lineRule="exact"/>
        <w:rPr>
          <w:rFonts w:ascii="微软雅黑" w:hAnsi="微软雅黑" w:eastAsia="微软雅黑" w:cs="Times New Roman"/>
          <w:sz w:val="24"/>
          <w:szCs w:val="24"/>
        </w:rPr>
      </w:pPr>
      <w:r>
        <w:rPr>
          <w:rFonts w:ascii="微软雅黑" w:hAnsi="微软雅黑" w:eastAsia="微软雅黑" w:cs="微软雅黑"/>
          <w:sz w:val="24"/>
          <w:szCs w:val="24"/>
        </w:rPr>
        <w:t>7</w:t>
      </w:r>
      <w:r>
        <w:rPr>
          <w:rFonts w:hint="eastAsia" w:ascii="微软雅黑" w:hAnsi="微软雅黑" w:eastAsia="微软雅黑" w:cs="微软雅黑"/>
          <w:sz w:val="24"/>
          <w:szCs w:val="24"/>
        </w:rPr>
        <w:t>．如何让企业所有人穿上＂红舞鞋＂</w:t>
      </w:r>
    </w:p>
    <w:p>
      <w:pPr>
        <w:pStyle w:val="7"/>
        <w:spacing w:before="0" w:beforeAutospacing="0" w:after="0" w:afterAutospacing="0" w:line="460" w:lineRule="exact"/>
        <w:rPr>
          <w:rFonts w:ascii="微软雅黑" w:hAnsi="微软雅黑" w:eastAsia="微软雅黑" w:cs="Times New Roman"/>
          <w:b/>
          <w:bCs/>
          <w:color w:val="365F90"/>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365F90"/>
        </w:rPr>
        <w:t>第一讲：预算管理的基础</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１．预算是什么？</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２．为什么要做预算？</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３．预算执行中的五大问题</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４．预算能准确吗？预算又为什么不准？</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５．预算管理的核心与作用</w:t>
      </w:r>
    </w:p>
    <w:p>
      <w:pPr>
        <w:pStyle w:val="7"/>
        <w:spacing w:before="0" w:beforeAutospacing="0" w:after="0" w:afterAutospacing="0" w:line="460" w:lineRule="exact"/>
        <w:rPr>
          <w:rFonts w:ascii="微软雅黑" w:hAnsi="微软雅黑" w:eastAsia="微软雅黑" w:cs="Times New Roman"/>
          <w:kern w:val="2"/>
        </w:rPr>
      </w:pPr>
      <w:r>
        <w:rPr>
          <w:rFonts w:hint="eastAsia" w:ascii="微软雅黑" w:hAnsi="微软雅黑" w:eastAsia="微软雅黑" w:cs="微软雅黑"/>
          <w:b/>
          <w:bCs/>
          <w:kern w:val="2"/>
        </w:rPr>
        <w:t>案例分析：</w:t>
      </w:r>
      <w:r>
        <w:rPr>
          <w:rFonts w:hint="eastAsia" w:ascii="微软雅黑" w:hAnsi="微软雅黑" w:eastAsia="微软雅黑" w:cs="微软雅黑"/>
          <w:kern w:val="2"/>
        </w:rPr>
        <w:t>调整成长企业面临什么样的风险？</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１．如何构建以预算管理为导向的管理控制体系</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２．预算编制的原则</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３．预算管理应当有哪些组织来实施</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４．预算编制的程序及时间安排</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５．预算编制的步骤</w:t>
      </w:r>
    </w:p>
    <w:p>
      <w:pPr>
        <w:spacing w:line="460" w:lineRule="exact"/>
        <w:rPr>
          <w:rFonts w:ascii="微软雅黑" w:hAnsi="微软雅黑" w:eastAsia="微软雅黑" w:cs="Times New Roman"/>
          <w:b/>
          <w:bCs/>
          <w:color w:val="FF0000"/>
          <w:sz w:val="24"/>
          <w:szCs w:val="24"/>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365F90"/>
        </w:rPr>
        <w:t>第二讲：导入企业经营管理沙盘</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１．发掘团队做好目标设定及目标管理的重要性</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２．资源的不当使用对团队或组织的影响</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３．提高管理者分析与优化信息的能力</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４．根据可获得的信息对处境进行评价</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５．目标是团队的基础，什么样的团队目标导致什么样的团队行动并最终决定团队的绩效。引导管理者理性制定企业或部门的目标</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６．合理安排资源并制定计划以实现团队的目标</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７．执行计划并在执行过程中做出必要的调整</w:t>
      </w:r>
    </w:p>
    <w:p>
      <w:pPr>
        <w:spacing w:line="460" w:lineRule="exact"/>
        <w:rPr>
          <w:rFonts w:ascii="微软雅黑" w:hAnsi="微软雅黑" w:eastAsia="微软雅黑" w:cs="Times New Roman"/>
          <w:sz w:val="24"/>
          <w:szCs w:val="24"/>
        </w:rPr>
      </w:pPr>
      <w:r>
        <w:rPr>
          <w:rFonts w:hint="eastAsia" w:ascii="微软雅黑" w:hAnsi="微软雅黑" w:eastAsia="微软雅黑" w:cs="微软雅黑"/>
          <w:sz w:val="24"/>
          <w:szCs w:val="24"/>
        </w:rPr>
        <w:t>８．提升管理者应对风险的能力</w:t>
      </w:r>
    </w:p>
    <w:p>
      <w:pPr>
        <w:spacing w:line="460" w:lineRule="exact"/>
        <w:rPr>
          <w:rFonts w:ascii="微软雅黑" w:hAnsi="微软雅黑" w:eastAsia="微软雅黑" w:cs="Times New Roman"/>
          <w:b/>
          <w:bCs/>
          <w:color w:val="333333"/>
          <w:kern w:val="0"/>
          <w:sz w:val="24"/>
          <w:szCs w:val="24"/>
        </w:rPr>
      </w:pPr>
      <w:r>
        <w:rPr>
          <w:rFonts w:hint="eastAsia" w:ascii="微软雅黑" w:hAnsi="微软雅黑" w:eastAsia="微软雅黑" w:cs="微软雅黑"/>
          <w:b/>
          <w:bCs/>
          <w:color w:val="333333"/>
          <w:kern w:val="0"/>
          <w:sz w:val="24"/>
          <w:szCs w:val="24"/>
        </w:rPr>
        <w:t>通过沙盘模拟提升上述能力，使管理者更好的理解预算．编制预算．执行预算。</w:t>
      </w:r>
    </w:p>
    <w:p>
      <w:pPr>
        <w:spacing w:line="460" w:lineRule="exact"/>
        <w:rPr>
          <w:rFonts w:ascii="微软雅黑" w:hAnsi="微软雅黑" w:eastAsia="微软雅黑" w:cs="Times New Roman"/>
          <w:b/>
          <w:bCs/>
          <w:color w:val="FF0000"/>
          <w:sz w:val="24"/>
          <w:szCs w:val="24"/>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365F90"/>
        </w:rPr>
        <w:t>第三讲：预算具体编制方法和技巧</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１．全面预算依据的四个导向</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２．企业战略目标及年度目标的确定</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３．各部门年度目标制定的要点分析</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－－如何确定预算目标</w:t>
      </w:r>
      <w:r>
        <w:rPr>
          <w:rFonts w:ascii="微软雅黑" w:hAnsi="微软雅黑" w:eastAsia="微软雅黑" w:cs="微软雅黑"/>
          <w:color w:val="333333"/>
        </w:rPr>
        <w:t>——</w:t>
      </w:r>
      <w:r>
        <w:rPr>
          <w:rFonts w:hint="eastAsia" w:ascii="微软雅黑" w:hAnsi="微软雅黑" w:eastAsia="微软雅黑" w:cs="微软雅黑"/>
          <w:color w:val="333333"/>
        </w:rPr>
        <w:t>现场确定各团队目标</w:t>
      </w:r>
    </w:p>
    <w:p>
      <w:pPr>
        <w:pStyle w:val="18"/>
        <w:shd w:val="clear" w:color="auto" w:fill="FFFFFF"/>
        <w:spacing w:line="460" w:lineRule="exact"/>
        <w:ind w:firstLine="0" w:firstLineChars="0"/>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－－预算松驰的原因分析与对策</w:t>
      </w:r>
    </w:p>
    <w:p>
      <w:pPr>
        <w:pStyle w:val="18"/>
        <w:shd w:val="clear" w:color="auto" w:fill="FFFFFF"/>
        <w:spacing w:line="460" w:lineRule="exact"/>
        <w:ind w:firstLine="0" w:firstLineChars="0"/>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－－预算在执行中如何解决“见好就收”及“破罐子破摔”的问题</w:t>
      </w:r>
    </w:p>
    <w:p>
      <w:pPr>
        <w:pStyle w:val="18"/>
        <w:shd w:val="clear" w:color="auto" w:fill="FFFFFF"/>
        <w:spacing w:line="460" w:lineRule="exact"/>
        <w:ind w:firstLine="0" w:firstLineChars="0"/>
        <w:rPr>
          <w:rFonts w:ascii="微软雅黑" w:hAnsi="微软雅黑" w:eastAsia="微软雅黑" w:cs="Times New Roman"/>
          <w:color w:val="333333"/>
          <w:sz w:val="24"/>
          <w:szCs w:val="24"/>
        </w:rPr>
      </w:pPr>
      <w:r>
        <w:rPr>
          <w:rFonts w:hint="eastAsia" w:ascii="微软雅黑" w:hAnsi="微软雅黑" w:eastAsia="微软雅黑" w:cs="微软雅黑"/>
          <w:color w:val="333333"/>
          <w:kern w:val="0"/>
          <w:sz w:val="24"/>
          <w:szCs w:val="24"/>
        </w:rPr>
        <w:t>－－制定三级递进目标，打造企业永动机。</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１．如何避免“四拍预算”</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２．全面预算的核心</w:t>
      </w:r>
      <w:r>
        <w:rPr>
          <w:rFonts w:ascii="微软雅黑" w:hAnsi="微软雅黑" w:eastAsia="微软雅黑" w:cs="微软雅黑"/>
          <w:color w:val="333333"/>
        </w:rPr>
        <w:t>——</w:t>
      </w:r>
      <w:r>
        <w:rPr>
          <w:rFonts w:hint="eastAsia" w:ascii="微软雅黑" w:hAnsi="微软雅黑" w:eastAsia="微软雅黑" w:cs="微软雅黑"/>
          <w:color w:val="333333"/>
        </w:rPr>
        <w:t>年度经营计划</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３．现场制定年度计划的编制及评估</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４．预算编制方法</w:t>
      </w:r>
      <w:r>
        <w:rPr>
          <w:rFonts w:ascii="微软雅黑" w:hAnsi="微软雅黑" w:eastAsia="微软雅黑" w:cs="微软雅黑"/>
          <w:color w:val="333333"/>
        </w:rPr>
        <w:t>——</w:t>
      </w:r>
      <w:r>
        <w:rPr>
          <w:rFonts w:hint="eastAsia" w:ascii="微软雅黑" w:hAnsi="微软雅黑" w:eastAsia="微软雅黑" w:cs="微软雅黑"/>
          <w:color w:val="333333"/>
        </w:rPr>
        <w:t>预算编制的六大方法</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５．企业预算编制的三种模式</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６．销售预算编制</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－－销售预算的编制依据．销售预算的预测方法</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－－销售预算的编制底稿．现场作业编制销售预算</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７．生产预算的编制</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－－生产预算的编制依据．生产预算应注意的问题</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－－生产预算的编制底稿．现场作业编制生产预算</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８．直接材料及采购预算：编制依据．预算编制底稿．预算实例分析</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hint="eastAsia" w:ascii="微软雅黑" w:hAnsi="微软雅黑" w:eastAsia="微软雅黑" w:cs="微软雅黑"/>
          <w:color w:val="333333"/>
        </w:rPr>
        <w:t>９．直接人工．制造费用预算：编制依据．预算编制底稿．预算实例分析</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10</w:t>
      </w:r>
      <w:r>
        <w:rPr>
          <w:rFonts w:hint="eastAsia" w:ascii="微软雅黑" w:hAnsi="微软雅黑" w:eastAsia="微软雅黑" w:cs="微软雅黑"/>
          <w:color w:val="333333"/>
        </w:rPr>
        <w:t>．销售成本预算的编制：编制依据．预算编制底稿．预算实例分析</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11</w:t>
      </w:r>
      <w:r>
        <w:rPr>
          <w:rFonts w:hint="eastAsia" w:ascii="微软雅黑" w:hAnsi="微软雅黑" w:eastAsia="微软雅黑" w:cs="微软雅黑"/>
          <w:color w:val="333333"/>
        </w:rPr>
        <w:t>．期间费用预算的编制：编制依据．预算编制底稿．预算实例分析</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12</w:t>
      </w:r>
      <w:r>
        <w:rPr>
          <w:rFonts w:hint="eastAsia" w:ascii="微软雅黑" w:hAnsi="微软雅黑" w:eastAsia="微软雅黑" w:cs="微软雅黑"/>
          <w:color w:val="333333"/>
        </w:rPr>
        <w:t>．财务预算的编制：预计利润表．预计资产负债表．预计现金流量表</w:t>
      </w:r>
    </w:p>
    <w:p>
      <w:pPr>
        <w:widowControl/>
        <w:spacing w:line="460" w:lineRule="exact"/>
        <w:rPr>
          <w:rFonts w:ascii="微软雅黑" w:hAnsi="微软雅黑" w:eastAsia="微软雅黑" w:cs="Times New Roman"/>
          <w:color w:val="333333"/>
          <w:kern w:val="0"/>
          <w:sz w:val="24"/>
          <w:szCs w:val="24"/>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365F90"/>
        </w:rPr>
        <w:t>第四讲：预算监控体系</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1</w:t>
      </w:r>
      <w:r>
        <w:rPr>
          <w:rFonts w:hint="eastAsia" w:ascii="微软雅黑" w:hAnsi="微软雅黑" w:eastAsia="微软雅黑" w:cs="微软雅黑"/>
          <w:color w:val="333333"/>
        </w:rPr>
        <w:t>．预算执行中存在的问题</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2</w:t>
      </w:r>
      <w:r>
        <w:rPr>
          <w:rFonts w:hint="eastAsia" w:ascii="微软雅黑" w:hAnsi="微软雅黑" w:eastAsia="微软雅黑" w:cs="微软雅黑"/>
          <w:color w:val="333333"/>
        </w:rPr>
        <w:t>．预算审批机制与程序</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3</w:t>
      </w:r>
      <w:r>
        <w:rPr>
          <w:rFonts w:hint="eastAsia" w:ascii="微软雅黑" w:hAnsi="微软雅黑" w:eastAsia="微软雅黑" w:cs="微软雅黑"/>
          <w:color w:val="333333"/>
        </w:rPr>
        <w:t>．预算执行与监控</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4</w:t>
      </w:r>
      <w:r>
        <w:rPr>
          <w:rFonts w:hint="eastAsia" w:ascii="微软雅黑" w:hAnsi="微软雅黑" w:eastAsia="微软雅黑" w:cs="微软雅黑"/>
          <w:color w:val="333333"/>
        </w:rPr>
        <w:t>．预算反馈差异分析报告的程序</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5</w:t>
      </w:r>
      <w:r>
        <w:rPr>
          <w:rFonts w:hint="eastAsia" w:ascii="微软雅黑" w:hAnsi="微软雅黑" w:eastAsia="微软雅黑" w:cs="微软雅黑"/>
          <w:color w:val="333333"/>
        </w:rPr>
        <w:t>．预算分析目的及分析报告的内容</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6</w:t>
      </w:r>
      <w:r>
        <w:rPr>
          <w:rFonts w:hint="eastAsia" w:ascii="微软雅黑" w:hAnsi="微软雅黑" w:eastAsia="微软雅黑" w:cs="微软雅黑"/>
          <w:color w:val="333333"/>
        </w:rPr>
        <w:t>．预算调整的程序及调整方式</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7</w:t>
      </w:r>
      <w:r>
        <w:rPr>
          <w:rFonts w:hint="eastAsia" w:ascii="微软雅黑" w:hAnsi="微软雅黑" w:eastAsia="微软雅黑" w:cs="微软雅黑"/>
          <w:color w:val="333333"/>
        </w:rPr>
        <w:t>．如何预防预算单位期末突击花钱</w:t>
      </w:r>
    </w:p>
    <w:p>
      <w:pPr>
        <w:pStyle w:val="7"/>
        <w:shd w:val="clear" w:color="auto" w:fill="FFFFFF"/>
        <w:spacing w:before="0" w:beforeAutospacing="0" w:after="0" w:afterAutospacing="0" w:line="460" w:lineRule="exact"/>
        <w:rPr>
          <w:rFonts w:ascii="微软雅黑" w:hAnsi="微软雅黑" w:eastAsia="微软雅黑" w:cs="Times New Roman"/>
          <w:color w:val="333333"/>
        </w:rPr>
      </w:pPr>
    </w:p>
    <w:p>
      <w:pPr>
        <w:pStyle w:val="7"/>
        <w:spacing w:before="0" w:beforeAutospacing="0" w:after="0" w:afterAutospacing="0" w:line="460" w:lineRule="exact"/>
        <w:rPr>
          <w:rFonts w:ascii="微软雅黑" w:hAnsi="微软雅黑" w:eastAsia="微软雅黑" w:cs="Times New Roman"/>
          <w:b/>
          <w:bCs/>
          <w:color w:val="365F90"/>
        </w:rPr>
      </w:pPr>
      <w:r>
        <w:rPr>
          <w:rFonts w:hint="eastAsia" w:ascii="微软雅黑" w:hAnsi="微软雅黑" w:eastAsia="微软雅黑" w:cs="微软雅黑"/>
          <w:b/>
          <w:bCs/>
          <w:color w:val="365F90"/>
        </w:rPr>
        <w:t>第五讲：预算绩效管理体系</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1</w:t>
      </w:r>
      <w:r>
        <w:rPr>
          <w:rFonts w:hint="eastAsia" w:ascii="微软雅黑" w:hAnsi="微软雅黑" w:eastAsia="微软雅黑" w:cs="微软雅黑"/>
          <w:color w:val="333333"/>
        </w:rPr>
        <w:t>．全面预算的考核指标框架</w:t>
      </w:r>
    </w:p>
    <w:p>
      <w:pPr>
        <w:pStyle w:val="18"/>
        <w:spacing w:line="460" w:lineRule="exact"/>
        <w:ind w:firstLine="0" w:firstLineChars="0"/>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2</w:t>
      </w:r>
      <w:r>
        <w:rPr>
          <w:rFonts w:hint="eastAsia" w:ascii="微软雅黑" w:hAnsi="微软雅黑" w:eastAsia="微软雅黑" w:cs="微软雅黑"/>
          <w:color w:val="333333"/>
          <w:kern w:val="0"/>
          <w:sz w:val="24"/>
          <w:szCs w:val="24"/>
        </w:rPr>
        <w:t>．现代企业经济管理指标在企业中的运用</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3</w:t>
      </w:r>
      <w:r>
        <w:rPr>
          <w:rFonts w:hint="eastAsia" w:ascii="微软雅黑" w:hAnsi="微软雅黑" w:eastAsia="微软雅黑" w:cs="微软雅黑"/>
          <w:color w:val="333333"/>
        </w:rPr>
        <w:t>．现代企业管理考核指标分析</w:t>
      </w:r>
    </w:p>
    <w:p>
      <w:pPr>
        <w:pStyle w:val="7"/>
        <w:shd w:val="clear" w:color="auto" w:fill="FFFFFF"/>
        <w:spacing w:before="0" w:beforeAutospacing="0" w:after="0" w:afterAutospacing="0" w:line="460" w:lineRule="exact"/>
        <w:rPr>
          <w:rFonts w:ascii="微软雅黑" w:hAnsi="微软雅黑" w:eastAsia="微软雅黑" w:cs="Times New Roman"/>
          <w:color w:val="333333"/>
        </w:rPr>
      </w:pPr>
      <w:r>
        <w:rPr>
          <w:rFonts w:ascii="微软雅黑" w:hAnsi="微软雅黑" w:eastAsia="微软雅黑" w:cs="微软雅黑"/>
          <w:color w:val="333333"/>
        </w:rPr>
        <w:t>4</w:t>
      </w:r>
      <w:r>
        <w:rPr>
          <w:rFonts w:hint="eastAsia" w:ascii="微软雅黑" w:hAnsi="微软雅黑" w:eastAsia="微软雅黑" w:cs="微软雅黑"/>
          <w:color w:val="333333"/>
        </w:rPr>
        <w:t>．平衡计分卡的应用</w:t>
      </w:r>
    </w:p>
    <w:p>
      <w:pPr>
        <w:rPr>
          <w:rFonts w:cs="Times New Roman"/>
        </w:rPr>
      </w:pP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黄俭老师资历</w:t>
      </w:r>
      <w:r>
        <w:rPr>
          <w:rFonts w:hint="eastAsia" w:ascii="微软雅黑" w:hAnsi="微软雅黑" w:eastAsia="微软雅黑" w:cs="微软雅黑"/>
          <w:sz w:val="24"/>
          <w:szCs w:val="24"/>
        </w:rPr>
        <w:t>：中国首届企业管理咨询师，高级会计师、有多年大型企业集团高级财务管理经验和十年的培训咨询经验。黄老师目前是蓝草企业管理咨询有限公司首席财务讲师上海企业家协会特聘财务讲师。</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黄老师背景：</w:t>
      </w:r>
      <w:r>
        <w:rPr>
          <w:rFonts w:hint="eastAsia" w:ascii="微软雅黑" w:hAnsi="微软雅黑" w:eastAsia="微软雅黑" w:cs="微软雅黑"/>
          <w:sz w:val="24"/>
          <w:szCs w:val="24"/>
        </w:rPr>
        <w:t>多年的实战经验，让他把繁琐的财务工作讲解通俗易懂，让非财务人员快速成为理财行家！黄老师曾在大中华集团公司，河南羚锐股份有限公司，圣象集团担任财务经理。</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黄老师主讲课程：《</w:t>
      </w:r>
      <w:r>
        <w:rPr>
          <w:rFonts w:hint="eastAsia" w:ascii="微软雅黑" w:hAnsi="微软雅黑" w:eastAsia="微软雅黑" w:cs="微软雅黑"/>
          <w:sz w:val="24"/>
          <w:szCs w:val="24"/>
        </w:rPr>
        <w:t>总经理的财务管理》、《财务报表解读与分析》、《非财务经理的财务管理》、《内部控制及风险管理》、《</w:t>
      </w:r>
      <w:r>
        <w:rPr>
          <w:rFonts w:ascii="微软雅黑" w:hAnsi="微软雅黑" w:eastAsia="微软雅黑" w:cs="微软雅黑"/>
          <w:sz w:val="24"/>
          <w:szCs w:val="24"/>
        </w:rPr>
        <w:t>EVA</w:t>
      </w:r>
      <w:r>
        <w:rPr>
          <w:rFonts w:hint="eastAsia" w:ascii="微软雅黑" w:hAnsi="微软雅黑" w:eastAsia="微软雅黑" w:cs="微软雅黑"/>
          <w:sz w:val="24"/>
          <w:szCs w:val="24"/>
        </w:rPr>
        <w:t>》、《成本会计》、《全面质量成本管理》、《税务策划与税务管理》、《全面预算管理与控制》、《成本控制与分析》</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sz w:val="24"/>
          <w:szCs w:val="24"/>
        </w:rPr>
        <w:t>武钢、际华国际、中国国航、宁德时代、东风汽车、广本汽车、虹桥机场、欧姆龙国际、上海市政府下属发改委等单位。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推荐理由</w:t>
      </w:r>
      <w:r>
        <w:rPr>
          <w:rFonts w:ascii="微软雅黑" w:hAnsi="微软雅黑" w:eastAsia="微软雅黑" w:cs="微软雅黑"/>
          <w:sz w:val="24"/>
          <w:szCs w:val="24"/>
        </w:rPr>
        <w:t>:</w:t>
      </w:r>
      <w:r>
        <w:rPr>
          <w:rFonts w:hint="eastAsia" w:ascii="微软雅黑" w:hAnsi="微软雅黑" w:eastAsia="微软雅黑" w:cs="微软雅黑"/>
          <w:sz w:val="24"/>
          <w:szCs w:val="24"/>
        </w:rPr>
        <w:t>黄老师分享都是干货，内容实战又不缺乏幽默；课程突出实用性、故事性、新鲜性和幽默性。通过一系列财务管理案例剖析点评，使企业管理人员快速掌握一些财务管理先进理念，分析技巧、提高解决问题的能力。</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19"/>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color w:val="00B0F0"/>
      </w:rPr>
    </w:pPr>
    <w:r>
      <w:pict>
        <v:line id="直线连接符 3" o:spid="_x0000_s4100" o:spt="20" style="position:absolute;left:0pt;margin-left:-85.95pt;margin-top:-3.5pt;height:0.75pt;width:585pt;z-index:251660288;mso-width-relative:page;mso-height-relative:page;" o:preferrelative="t" stroked="t" coordsize="21600,21600">
          <v:path arrowok="t"/>
          <v:fill focussize="0,0"/>
          <v:stroke weight="1.75pt" color="#4A7DBA" miterlimit="2" dashstyle="longDashDot"/>
          <v:imagedata o:title=""/>
          <o:lock v:ext="edit"/>
        </v:lin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szCs w:val="24"/>
      </w:rPr>
    </w:pPr>
    <w:r>
      <w:pict>
        <v:line id="直线连接符 2" o:spid="_x0000_s4098" o:spt="20" style="position:absolute;left:0pt;margin-left:-85.95pt;margin-top:17.65pt;height:0.05pt;width:585pt;z-index:251659264;mso-width-relative:page;mso-height-relative:page;" o:preferrelative="t" stroked="t" coordsize="21600,21600">
          <v:path arrowok="t"/>
          <v:fill focussize="0,0"/>
          <v:stroke weight="1.25pt" color="#17365D" miterlimit="2" dashstyle="1 1"/>
          <v:imagedata o:title=""/>
          <o:lock v:ext="edit"/>
        </v:line>
      </w:pict>
    </w:r>
    <w:r>
      <w:rPr>
        <w:rFonts w:eastAsia="微软雅黑"/>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8794F"/>
    <w:rsid w:val="000C0857"/>
    <w:rsid w:val="000C6BF5"/>
    <w:rsid w:val="001A6B13"/>
    <w:rsid w:val="002F7B2D"/>
    <w:rsid w:val="003018A4"/>
    <w:rsid w:val="00331F87"/>
    <w:rsid w:val="00343FEE"/>
    <w:rsid w:val="0042048F"/>
    <w:rsid w:val="004279C2"/>
    <w:rsid w:val="00444909"/>
    <w:rsid w:val="004759B6"/>
    <w:rsid w:val="004B3B51"/>
    <w:rsid w:val="00577A72"/>
    <w:rsid w:val="00585547"/>
    <w:rsid w:val="005B4BAE"/>
    <w:rsid w:val="006339D7"/>
    <w:rsid w:val="008D06F8"/>
    <w:rsid w:val="008E00CF"/>
    <w:rsid w:val="0091450E"/>
    <w:rsid w:val="00944593"/>
    <w:rsid w:val="009B74C9"/>
    <w:rsid w:val="009F1362"/>
    <w:rsid w:val="00AB3A77"/>
    <w:rsid w:val="00B02531"/>
    <w:rsid w:val="00B05CFB"/>
    <w:rsid w:val="00B14228"/>
    <w:rsid w:val="00B944D8"/>
    <w:rsid w:val="00C473A3"/>
    <w:rsid w:val="00CD04FE"/>
    <w:rsid w:val="00D46862"/>
    <w:rsid w:val="00D47868"/>
    <w:rsid w:val="00DA7308"/>
    <w:rsid w:val="00FA3F21"/>
    <w:rsid w:val="03013F78"/>
    <w:rsid w:val="09497C15"/>
    <w:rsid w:val="0CE848F4"/>
    <w:rsid w:val="0D241E15"/>
    <w:rsid w:val="0D29619B"/>
    <w:rsid w:val="11850307"/>
    <w:rsid w:val="118520C7"/>
    <w:rsid w:val="120C5579"/>
    <w:rsid w:val="129F5548"/>
    <w:rsid w:val="14EE2CD5"/>
    <w:rsid w:val="152A06AE"/>
    <w:rsid w:val="16457C89"/>
    <w:rsid w:val="180839B6"/>
    <w:rsid w:val="18AA49CE"/>
    <w:rsid w:val="1DD05359"/>
    <w:rsid w:val="1E0846AD"/>
    <w:rsid w:val="1E9513D1"/>
    <w:rsid w:val="24FE1C1A"/>
    <w:rsid w:val="252F2DB0"/>
    <w:rsid w:val="26CC1FFA"/>
    <w:rsid w:val="2D5C5A1D"/>
    <w:rsid w:val="2D8063D7"/>
    <w:rsid w:val="2EED61D7"/>
    <w:rsid w:val="2F20473C"/>
    <w:rsid w:val="34C45084"/>
    <w:rsid w:val="359F2EF3"/>
    <w:rsid w:val="3CD74F5C"/>
    <w:rsid w:val="3DD60D27"/>
    <w:rsid w:val="3EC641CB"/>
    <w:rsid w:val="40AA5B24"/>
    <w:rsid w:val="41FA4F75"/>
    <w:rsid w:val="4289324C"/>
    <w:rsid w:val="47290580"/>
    <w:rsid w:val="4ABE0178"/>
    <w:rsid w:val="4B9A0D61"/>
    <w:rsid w:val="4C3C6088"/>
    <w:rsid w:val="50E94570"/>
    <w:rsid w:val="51695060"/>
    <w:rsid w:val="5226292C"/>
    <w:rsid w:val="526117B6"/>
    <w:rsid w:val="528637C2"/>
    <w:rsid w:val="55635700"/>
    <w:rsid w:val="55C548D6"/>
    <w:rsid w:val="572A15EF"/>
    <w:rsid w:val="57E6780D"/>
    <w:rsid w:val="582B263F"/>
    <w:rsid w:val="5E7745CC"/>
    <w:rsid w:val="63352E4C"/>
    <w:rsid w:val="645A42B3"/>
    <w:rsid w:val="64CB7612"/>
    <w:rsid w:val="656F550D"/>
    <w:rsid w:val="6AA221E0"/>
    <w:rsid w:val="6FA974C0"/>
    <w:rsid w:val="712E59B4"/>
    <w:rsid w:val="713E5EB9"/>
    <w:rsid w:val="71E90D32"/>
    <w:rsid w:val="749B5A6C"/>
    <w:rsid w:val="7615468C"/>
    <w:rsid w:val="775A04E9"/>
    <w:rsid w:val="7A725560"/>
    <w:rsid w:val="7EA62C4F"/>
    <w:rsid w:val="7EEF52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4">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FollowedHyperlink"/>
    <w:basedOn w:val="9"/>
    <w:qFormat/>
    <w:uiPriority w:val="99"/>
    <w:rPr>
      <w:color w:val="800080"/>
      <w:u w:val="single"/>
    </w:rPr>
  </w:style>
  <w:style w:type="character" w:styleId="11">
    <w:name w:val="Hyperlink"/>
    <w:basedOn w:val="9"/>
    <w:qFormat/>
    <w:uiPriority w:val="99"/>
    <w:rPr>
      <w:color w:val="0000FF"/>
      <w:u w:val="single"/>
    </w:rPr>
  </w:style>
  <w:style w:type="character" w:customStyle="1" w:styleId="12">
    <w:name w:val="Heading 1 Char"/>
    <w:basedOn w:val="9"/>
    <w:link w:val="3"/>
    <w:qFormat/>
    <w:locked/>
    <w:uiPriority w:val="99"/>
    <w:rPr>
      <w:rFonts w:ascii="Calibri" w:hAnsi="Calibri" w:cs="Calibri"/>
      <w:b/>
      <w:bCs/>
      <w:kern w:val="44"/>
      <w:sz w:val="44"/>
      <w:szCs w:val="44"/>
    </w:rPr>
  </w:style>
  <w:style w:type="character" w:customStyle="1" w:styleId="13">
    <w:name w:val="Heading 3 Char"/>
    <w:basedOn w:val="9"/>
    <w:link w:val="4"/>
    <w:semiHidden/>
    <w:qFormat/>
    <w:uiPriority w:val="9"/>
    <w:rPr>
      <w:rFonts w:ascii="Calibri" w:hAnsi="Calibri" w:cs="Calibri"/>
      <w:b/>
      <w:bCs/>
      <w:sz w:val="32"/>
      <w:szCs w:val="32"/>
    </w:rPr>
  </w:style>
  <w:style w:type="character" w:customStyle="1" w:styleId="14">
    <w:name w:val="Footer Char"/>
    <w:basedOn w:val="9"/>
    <w:link w:val="5"/>
    <w:semiHidden/>
    <w:qFormat/>
    <w:uiPriority w:val="99"/>
    <w:rPr>
      <w:rFonts w:ascii="Calibri" w:hAnsi="Calibri" w:cs="Calibri"/>
      <w:sz w:val="18"/>
      <w:szCs w:val="18"/>
    </w:rPr>
  </w:style>
  <w:style w:type="character" w:customStyle="1" w:styleId="15">
    <w:name w:val="Header Char"/>
    <w:basedOn w:val="9"/>
    <w:link w:val="6"/>
    <w:qFormat/>
    <w:locked/>
    <w:uiPriority w:val="99"/>
    <w:rPr>
      <w:kern w:val="2"/>
      <w:sz w:val="22"/>
      <w:szCs w:val="22"/>
    </w:rPr>
  </w:style>
  <w:style w:type="paragraph" w:customStyle="1" w:styleId="16">
    <w:name w:val="列出段落1"/>
    <w:qFormat/>
    <w:uiPriority w:val="99"/>
    <w:pPr>
      <w:ind w:firstLine="420" w:firstLineChars="200"/>
    </w:pPr>
    <w:rPr>
      <w:rFonts w:ascii="Times New Roman" w:hAnsi="Times New Roman" w:eastAsia="宋体" w:cs="Times New Roman"/>
      <w:kern w:val="0"/>
      <w:sz w:val="20"/>
      <w:szCs w:val="20"/>
      <w:lang w:val="en-US" w:eastAsia="zh-CN" w:bidi="ar-SA"/>
    </w:rPr>
  </w:style>
  <w:style w:type="paragraph" w:customStyle="1" w:styleId="17">
    <w:name w:val="No Spacing1"/>
    <w:qFormat/>
    <w:uiPriority w:val="99"/>
    <w:rPr>
      <w:rFonts w:ascii="DengXian" w:hAnsi="DengXian" w:eastAsia="Microsoft YaHei UI" w:cs="DengXian"/>
      <w:kern w:val="0"/>
      <w:sz w:val="22"/>
      <w:szCs w:val="22"/>
      <w:lang w:val="en-US" w:eastAsia="zh-CN" w:bidi="ar-SA"/>
    </w:rPr>
  </w:style>
  <w:style w:type="paragraph" w:customStyle="1" w:styleId="18">
    <w:name w:val="List Paragraph1"/>
    <w:basedOn w:val="1"/>
    <w:qFormat/>
    <w:uiPriority w:val="99"/>
    <w:pPr>
      <w:ind w:firstLine="420" w:firstLineChars="200"/>
    </w:pPr>
  </w:style>
  <w:style w:type="paragraph" w:customStyle="1" w:styleId="19">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3188</Words>
  <Characters>3249</Characters>
  <Lines>0</Lines>
  <Paragraphs>0</Paragraphs>
  <TotalTime>8</TotalTime>
  <ScaleCrop>false</ScaleCrop>
  <LinksUpToDate>false</LinksUpToDate>
  <CharactersWithSpaces>3287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2022-03-01T05:35:19Z</dcterms:modified>
  <dc:title>方便选课-按岗位为您蓄能企业岗位培训项目分类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DC742475554D4A348DABC46C4F7CB537</vt:lpwstr>
  </property>
</Properties>
</file>