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Times New Roman"/>
          <w:b/>
          <w:bCs/>
          <w:sz w:val="24"/>
          <w:szCs w:val="24"/>
        </w:rPr>
      </w:pPr>
      <w:r>
        <w:rPr>
          <w:rFonts w:ascii="微软雅黑" w:hAnsi="微软雅黑" w:eastAsia="微软雅黑" w:cs="微软雅黑"/>
          <w:b/>
          <w:bCs/>
          <w:sz w:val="24"/>
          <w:szCs w:val="24"/>
        </w:rPr>
        <w:t>20</w:t>
      </w:r>
      <w:r>
        <w:rPr>
          <w:rFonts w:hint="eastAsia" w:ascii="微软雅黑" w:hAnsi="微软雅黑" w:eastAsia="微软雅黑" w:cs="微软雅黑"/>
          <w:b/>
          <w:bCs/>
          <w:sz w:val="24"/>
          <w:szCs w:val="24"/>
          <w:lang w:val="en-US" w:eastAsia="zh-CN"/>
        </w:rPr>
        <w:t>22</w:t>
      </w:r>
      <w:r>
        <w:rPr>
          <w:rFonts w:hint="eastAsia" w:ascii="微软雅黑" w:hAnsi="微软雅黑" w:eastAsia="微软雅黑" w:cs="微软雅黑"/>
          <w:b/>
          <w:bCs/>
          <w:sz w:val="24"/>
          <w:szCs w:val="24"/>
        </w:rPr>
        <w:t>《全面质量成本管理》课程大纲及开课计划</w:t>
      </w:r>
    </w:p>
    <w:p>
      <w:pPr>
        <w:spacing w:line="276" w:lineRule="auto"/>
        <w:jc w:val="left"/>
        <w:rPr>
          <w:rFonts w:hint="eastAsia" w:eastAsia="微软雅黑" w:cs="微软雅黑"/>
          <w:b/>
          <w:bCs/>
          <w:sz w:val="24"/>
          <w:szCs w:val="24"/>
        </w:rPr>
      </w:pPr>
      <w:r>
        <w:rPr>
          <w:rFonts w:hint="eastAsia" w:ascii="仿宋" w:hAnsi="仿宋" w:eastAsia="微软雅黑" w:cs="微软雅黑"/>
          <w:b/>
          <w:bCs/>
          <w:sz w:val="24"/>
          <w:szCs w:val="24"/>
        </w:rPr>
        <w:t>课程</w:t>
      </w:r>
      <w:r>
        <w:rPr>
          <w:rFonts w:hint="eastAsia" w:eastAsia="微软雅黑" w:cs="微软雅黑"/>
          <w:b/>
          <w:bCs/>
          <w:sz w:val="24"/>
          <w:szCs w:val="24"/>
        </w:rPr>
        <w:t>价格：</w:t>
      </w:r>
      <w:r>
        <w:rPr>
          <w:rFonts w:eastAsia="微软雅黑"/>
          <w:b/>
          <w:bCs/>
          <w:sz w:val="24"/>
          <w:szCs w:val="24"/>
        </w:rPr>
        <w:t>4</w:t>
      </w:r>
      <w:r>
        <w:rPr>
          <w:rFonts w:hint="eastAsia" w:eastAsia="微软雅黑"/>
          <w:b/>
          <w:bCs/>
          <w:sz w:val="24"/>
          <w:szCs w:val="24"/>
          <w:lang w:val="en-US" w:eastAsia="zh-CN"/>
        </w:rPr>
        <w:t>8</w:t>
      </w:r>
      <w:r>
        <w:rPr>
          <w:rFonts w:eastAsia="微软雅黑"/>
          <w:b/>
          <w:bCs/>
          <w:sz w:val="24"/>
          <w:szCs w:val="24"/>
        </w:rPr>
        <w:t>80</w:t>
      </w:r>
      <w:r>
        <w:rPr>
          <w:rFonts w:hint="eastAsia" w:eastAsia="微软雅黑" w:cs="微软雅黑"/>
          <w:b/>
          <w:bCs/>
          <w:sz w:val="24"/>
          <w:szCs w:val="24"/>
        </w:rPr>
        <w:t>（</w:t>
      </w:r>
      <w:r>
        <w:rPr>
          <w:rFonts w:hint="eastAsia" w:ascii="微软雅黑" w:hAnsi="微软雅黑" w:eastAsia="微软雅黑" w:cs="微软雅黑"/>
          <w:b/>
          <w:bCs/>
          <w:sz w:val="24"/>
          <w:szCs w:val="24"/>
          <w:lang w:val="zh-CN"/>
        </w:rPr>
        <w:t>含授课费、资料费、午餐费</w:t>
      </w:r>
      <w:r>
        <w:rPr>
          <w:rFonts w:hint="eastAsia" w:eastAsia="微软雅黑" w:cs="微软雅黑"/>
          <w:b/>
          <w:bCs/>
          <w:sz w:val="24"/>
          <w:szCs w:val="24"/>
        </w:rPr>
        <w:t>）</w:t>
      </w:r>
    </w:p>
    <w:tbl>
      <w:tblPr>
        <w:tblStyle w:val="8"/>
        <w:tblW w:w="9240" w:type="dxa"/>
        <w:tblInd w:w="0" w:type="dxa"/>
        <w:shd w:val="clear" w:color="auto" w:fill="auto"/>
        <w:tblLayout w:type="autofit"/>
        <w:tblCellMar>
          <w:top w:w="0" w:type="dxa"/>
          <w:left w:w="0" w:type="dxa"/>
          <w:bottom w:w="0" w:type="dxa"/>
          <w:right w:w="0" w:type="dxa"/>
        </w:tblCellMar>
      </w:tblPr>
      <w:tblGrid>
        <w:gridCol w:w="660"/>
        <w:gridCol w:w="555"/>
        <w:gridCol w:w="555"/>
        <w:gridCol w:w="810"/>
        <w:gridCol w:w="660"/>
        <w:gridCol w:w="555"/>
        <w:gridCol w:w="810"/>
        <w:gridCol w:w="735"/>
        <w:gridCol w:w="735"/>
        <w:gridCol w:w="810"/>
        <w:gridCol w:w="555"/>
        <w:gridCol w:w="1050"/>
        <w:gridCol w:w="750"/>
      </w:tblGrid>
      <w:tr>
        <w:tblPrEx>
          <w:shd w:val="clear" w:color="auto" w:fill="auto"/>
          <w:tblCellMar>
            <w:top w:w="0" w:type="dxa"/>
            <w:left w:w="0" w:type="dxa"/>
            <w:bottom w:w="0" w:type="dxa"/>
            <w:right w:w="0" w:type="dxa"/>
          </w:tblCellMar>
        </w:tblPrEx>
        <w:trPr>
          <w:trHeight w:val="33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地点</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一月</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二月</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三月</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四月</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五月</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六月</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七月</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八月</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九月</w:t>
            </w:r>
          </w:p>
        </w:tc>
        <w:tc>
          <w:tcPr>
            <w:tcW w:w="5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十月</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十一月</w:t>
            </w:r>
          </w:p>
        </w:tc>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十二月</w:t>
            </w:r>
          </w:p>
        </w:tc>
      </w:tr>
      <w:tr>
        <w:tblPrEx>
          <w:tblCellMar>
            <w:top w:w="0" w:type="dxa"/>
            <w:left w:w="0" w:type="dxa"/>
            <w:bottom w:w="0" w:type="dxa"/>
            <w:right w:w="0"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上海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微软雅黑" w:hAnsi="微软雅黑" w:eastAsia="微软雅黑" w:cs="微软雅黑"/>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微软雅黑" w:hAnsi="微软雅黑" w:eastAsia="微软雅黑" w:cs="微软雅黑"/>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16-17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20-21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微软雅黑" w:hAnsi="微软雅黑" w:eastAsia="微软雅黑" w:cs="微软雅黑"/>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15-16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27-28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24-25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jc w:val="center"/>
              <w:rPr>
                <w:rFonts w:hint="eastAsia" w:ascii="微软雅黑" w:hAnsi="微软雅黑" w:eastAsia="微软雅黑" w:cs="微软雅黑"/>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17-18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7-8</w:t>
            </w:r>
          </w:p>
        </w:tc>
      </w:tr>
    </w:tbl>
    <w:p>
      <w:pPr>
        <w:rPr>
          <w:rFonts w:ascii="微软雅黑" w:hAnsi="微软雅黑" w:eastAsia="微软雅黑" w:cs="微软雅黑"/>
          <w:b/>
          <w:bCs/>
          <w:sz w:val="24"/>
          <w:szCs w:val="24"/>
        </w:rPr>
      </w:pPr>
      <w:r>
        <w:rPr>
          <w:rFonts w:hint="eastAsia" w:ascii="微软雅黑" w:hAnsi="微软雅黑" w:eastAsia="微软雅黑" w:cs="微软雅黑"/>
          <w:b/>
          <w:bCs/>
          <w:sz w:val="24"/>
          <w:szCs w:val="24"/>
        </w:rPr>
        <w:t>培训受众</w:t>
      </w:r>
      <w:r>
        <w:rPr>
          <w:rFonts w:ascii="微软雅黑" w:hAnsi="微软雅黑" w:eastAsia="微软雅黑" w:cs="微软雅黑"/>
          <w:b/>
          <w:bCs/>
          <w:sz w:val="24"/>
          <w:szCs w:val="24"/>
        </w:rPr>
        <w:t>:</w:t>
      </w:r>
      <w:bookmarkStart w:id="0" w:name="_GoBack"/>
      <w:bookmarkEnd w:id="0"/>
    </w:p>
    <w:p>
      <w:pPr>
        <w:rPr>
          <w:rFonts w:ascii="微软雅黑" w:hAnsi="微软雅黑" w:eastAsia="微软雅黑" w:cs="微软雅黑"/>
          <w:sz w:val="24"/>
          <w:szCs w:val="24"/>
        </w:rPr>
      </w:pPr>
      <w:r>
        <w:rPr>
          <w:rFonts w:hint="eastAsia" w:ascii="微软雅黑" w:hAnsi="微软雅黑" w:eastAsia="微软雅黑" w:cs="微软雅黑"/>
          <w:sz w:val="24"/>
          <w:szCs w:val="24"/>
        </w:rPr>
        <w:t>企业总经理、工厂经理、运营经理、及相关中高层管理人员，质量经理、质量管理人员</w:t>
      </w:r>
      <w:r>
        <w:rPr>
          <w:rFonts w:ascii="微软雅黑" w:hAnsi="微软雅黑" w:eastAsia="微软雅黑" w:cs="微软雅黑"/>
          <w:sz w:val="24"/>
          <w:szCs w:val="24"/>
        </w:rPr>
        <w:t xml:space="preserve"> </w:t>
      </w:r>
      <w:r>
        <w:rPr>
          <w:rFonts w:hint="eastAsia" w:ascii="微软雅黑" w:hAnsi="微软雅黑" w:eastAsia="微软雅黑" w:cs="微软雅黑"/>
          <w:sz w:val="24"/>
          <w:szCs w:val="24"/>
        </w:rPr>
        <w:t>、质量成本管理所涉及的数据核算及财务人员</w:t>
      </w:r>
      <w:r>
        <w:rPr>
          <w:rFonts w:ascii="微软雅黑" w:hAnsi="微软雅黑" w:eastAsia="微软雅黑" w:cs="微软雅黑"/>
          <w:sz w:val="24"/>
          <w:szCs w:val="24"/>
        </w:rPr>
        <w:t xml:space="preserve"> </w:t>
      </w:r>
    </w:p>
    <w:p>
      <w:pPr>
        <w:rPr>
          <w:rFonts w:ascii="微软雅黑" w:hAnsi="微软雅黑" w:eastAsia="微软雅黑" w:cs="微软雅黑"/>
          <w:b/>
          <w:bCs/>
          <w:sz w:val="24"/>
          <w:szCs w:val="24"/>
        </w:rPr>
      </w:pPr>
      <w:r>
        <w:rPr>
          <w:rFonts w:hint="eastAsia" w:ascii="微软雅黑" w:hAnsi="微软雅黑" w:eastAsia="微软雅黑" w:cs="微软雅黑"/>
          <w:b/>
          <w:bCs/>
          <w:sz w:val="24"/>
          <w:szCs w:val="24"/>
        </w:rPr>
        <w:t>课程收益</w:t>
      </w:r>
      <w:r>
        <w:rPr>
          <w:rFonts w:ascii="微软雅黑" w:hAnsi="微软雅黑" w:eastAsia="微软雅黑" w:cs="微软雅黑"/>
          <w:b/>
          <w:bCs/>
          <w:sz w:val="24"/>
          <w:szCs w:val="24"/>
        </w:rPr>
        <w:t>:</w:t>
      </w:r>
    </w:p>
    <w:p>
      <w:pPr>
        <w:rPr>
          <w:rFonts w:ascii="微软雅黑" w:hAnsi="微软雅黑" w:eastAsia="微软雅黑" w:cs="Times New Roman"/>
          <w:sz w:val="24"/>
          <w:szCs w:val="24"/>
        </w:rPr>
      </w:pPr>
      <w:r>
        <w:rPr>
          <w:rFonts w:ascii="微软雅黑" w:hAnsi="微软雅黑" w:eastAsia="微软雅黑" w:cs="微软雅黑"/>
          <w:sz w:val="24"/>
          <w:szCs w:val="24"/>
        </w:rPr>
        <w:t>1.</w:t>
      </w:r>
      <w:r>
        <w:rPr>
          <w:rFonts w:hint="eastAsia" w:ascii="微软雅黑" w:hAnsi="微软雅黑" w:eastAsia="微软雅黑" w:cs="微软雅黑"/>
          <w:sz w:val="24"/>
          <w:szCs w:val="24"/>
        </w:rPr>
        <w:t>清晰质量、成本概念及战略性意义</w:t>
      </w:r>
    </w:p>
    <w:p>
      <w:pPr>
        <w:numPr>
          <w:ilvl w:val="0"/>
          <w:numId w:val="1"/>
        </w:numPr>
        <w:rPr>
          <w:rFonts w:ascii="微软雅黑" w:hAnsi="微软雅黑" w:eastAsia="微软雅黑" w:cs="Times New Roman"/>
          <w:sz w:val="24"/>
          <w:szCs w:val="24"/>
        </w:rPr>
      </w:pPr>
      <w:r>
        <w:rPr>
          <w:rFonts w:ascii="微软雅黑" w:hAnsi="微软雅黑" w:eastAsia="微软雅黑" w:cs="微软雅黑"/>
          <w:sz w:val="24"/>
          <w:szCs w:val="24"/>
        </w:rPr>
        <w:t xml:space="preserve"> </w:t>
      </w:r>
      <w:r>
        <w:rPr>
          <w:rFonts w:hint="eastAsia" w:ascii="微软雅黑" w:hAnsi="微软雅黑" w:eastAsia="微软雅黑" w:cs="微软雅黑"/>
          <w:sz w:val="24"/>
          <w:szCs w:val="24"/>
        </w:rPr>
        <w:t>掌握质量成本账户结构及核算方法</w:t>
      </w:r>
    </w:p>
    <w:p>
      <w:pPr>
        <w:numPr>
          <w:ilvl w:val="0"/>
          <w:numId w:val="1"/>
        </w:numPr>
        <w:rPr>
          <w:rFonts w:ascii="微软雅黑" w:hAnsi="微软雅黑" w:eastAsia="微软雅黑" w:cs="微软雅黑"/>
          <w:sz w:val="24"/>
          <w:szCs w:val="24"/>
        </w:rPr>
      </w:pPr>
      <w:r>
        <w:rPr>
          <w:rFonts w:ascii="微软雅黑" w:hAnsi="微软雅黑" w:eastAsia="微软雅黑" w:cs="微软雅黑"/>
          <w:sz w:val="24"/>
          <w:szCs w:val="24"/>
        </w:rPr>
        <w:t xml:space="preserve"> </w:t>
      </w:r>
      <w:r>
        <w:rPr>
          <w:rFonts w:hint="eastAsia" w:ascii="微软雅黑" w:hAnsi="微软雅黑" w:eastAsia="微软雅黑" w:cs="微软雅黑"/>
          <w:sz w:val="24"/>
          <w:szCs w:val="24"/>
        </w:rPr>
        <w:t>掌握质量成本管理的计划、控制、分析、报告和改进技巧</w:t>
      </w:r>
      <w:r>
        <w:rPr>
          <w:rFonts w:ascii="微软雅黑" w:hAnsi="微软雅黑" w:eastAsia="微软雅黑" w:cs="微软雅黑"/>
          <w:sz w:val="24"/>
          <w:szCs w:val="24"/>
        </w:rPr>
        <w:t xml:space="preserve"> </w:t>
      </w:r>
    </w:p>
    <w:p>
      <w:pPr>
        <w:numPr>
          <w:ilvl w:val="0"/>
          <w:numId w:val="1"/>
        </w:numPr>
        <w:rPr>
          <w:rFonts w:ascii="微软雅黑" w:hAnsi="微软雅黑" w:eastAsia="微软雅黑" w:cs="微软雅黑"/>
          <w:sz w:val="24"/>
          <w:szCs w:val="24"/>
        </w:rPr>
      </w:pPr>
      <w:r>
        <w:rPr>
          <w:rFonts w:ascii="微软雅黑" w:hAnsi="微软雅黑" w:eastAsia="微软雅黑" w:cs="微软雅黑"/>
          <w:sz w:val="24"/>
          <w:szCs w:val="24"/>
        </w:rPr>
        <w:t xml:space="preserve"> </w:t>
      </w:r>
      <w:r>
        <w:rPr>
          <w:rFonts w:hint="eastAsia" w:ascii="微软雅黑" w:hAnsi="微软雅黑" w:eastAsia="微软雅黑" w:cs="微软雅黑"/>
          <w:sz w:val="24"/>
          <w:szCs w:val="24"/>
        </w:rPr>
        <w:t>掌握建立质量成本管理体系的方法和技巧</w:t>
      </w:r>
      <w:r>
        <w:rPr>
          <w:rFonts w:ascii="微软雅黑" w:hAnsi="微软雅黑" w:eastAsia="微软雅黑" w:cs="微软雅黑"/>
          <w:sz w:val="24"/>
          <w:szCs w:val="24"/>
        </w:rPr>
        <w:t xml:space="preserve"> </w:t>
      </w:r>
    </w:p>
    <w:p>
      <w:pPr>
        <w:widowControl/>
        <w:spacing w:line="360" w:lineRule="atLeast"/>
        <w:jc w:val="left"/>
        <w:rPr>
          <w:rFonts w:ascii="微软雅黑" w:hAnsi="微软雅黑" w:eastAsia="微软雅黑" w:cs="微软雅黑"/>
          <w:b/>
          <w:bCs/>
          <w:color w:val="333333"/>
          <w:spacing w:val="15"/>
          <w:kern w:val="0"/>
          <w:sz w:val="24"/>
          <w:szCs w:val="24"/>
        </w:rPr>
      </w:pPr>
      <w:r>
        <w:rPr>
          <w:rFonts w:hint="eastAsia" w:ascii="微软雅黑" w:hAnsi="微软雅黑" w:eastAsia="微软雅黑" w:cs="微软雅黑"/>
          <w:b/>
          <w:bCs/>
          <w:color w:val="333333"/>
          <w:spacing w:val="15"/>
          <w:kern w:val="0"/>
          <w:sz w:val="24"/>
          <w:szCs w:val="24"/>
        </w:rPr>
        <w:t>课程大纲</w:t>
      </w:r>
      <w:r>
        <w:rPr>
          <w:rFonts w:ascii="微软雅黑" w:hAnsi="微软雅黑" w:eastAsia="微软雅黑" w:cs="微软雅黑"/>
          <w:b/>
          <w:bCs/>
          <w:color w:val="333333"/>
          <w:spacing w:val="15"/>
          <w:kern w:val="0"/>
          <w:sz w:val="24"/>
          <w:szCs w:val="24"/>
        </w:rPr>
        <w:t>:</w:t>
      </w:r>
    </w:p>
    <w:p>
      <w:pPr>
        <w:ind w:firstLine="435"/>
        <w:rPr>
          <w:rFonts w:ascii="微软雅黑" w:hAnsi="微软雅黑" w:eastAsia="微软雅黑" w:cs="微软雅黑"/>
          <w:sz w:val="24"/>
          <w:szCs w:val="24"/>
        </w:rPr>
      </w:pPr>
      <w:r>
        <w:rPr>
          <w:rFonts w:hint="eastAsia" w:ascii="微软雅黑" w:hAnsi="微软雅黑" w:eastAsia="微软雅黑" w:cs="微软雅黑"/>
          <w:sz w:val="24"/>
          <w:szCs w:val="24"/>
        </w:rPr>
        <w:t>一、质量管理基础</w:t>
      </w:r>
      <w:r>
        <w:rPr>
          <w:rFonts w:ascii="微软雅黑" w:hAnsi="微软雅黑" w:eastAsia="微软雅黑" w:cs="微软雅黑"/>
          <w:sz w:val="24"/>
          <w:szCs w:val="24"/>
        </w:rPr>
        <w:t xml:space="preserve"> </w:t>
      </w:r>
      <w:r>
        <w:rPr>
          <w:rFonts w:hint="eastAsia" w:ascii="微软雅黑" w:hAnsi="微软雅黑" w:eastAsia="微软雅黑" w:cs="微软雅黑"/>
          <w:sz w:val="24"/>
          <w:szCs w:val="24"/>
        </w:rPr>
        <w:t>什么是质量？差异化的质量概念：小</w:t>
      </w:r>
      <w:r>
        <w:rPr>
          <w:rFonts w:ascii="微软雅黑" w:hAnsi="微软雅黑" w:eastAsia="微软雅黑" w:cs="微软雅黑"/>
          <w:sz w:val="24"/>
          <w:szCs w:val="24"/>
        </w:rPr>
        <w:t>Q</w:t>
      </w:r>
      <w:r>
        <w:rPr>
          <w:rFonts w:hint="eastAsia" w:ascii="微软雅黑" w:hAnsi="微软雅黑" w:eastAsia="微软雅黑" w:cs="微软雅黑"/>
          <w:sz w:val="24"/>
          <w:szCs w:val="24"/>
        </w:rPr>
        <w:t>、中</w:t>
      </w:r>
      <w:r>
        <w:rPr>
          <w:rFonts w:ascii="微软雅黑" w:hAnsi="微软雅黑" w:eastAsia="微软雅黑" w:cs="微软雅黑"/>
          <w:sz w:val="24"/>
          <w:szCs w:val="24"/>
        </w:rPr>
        <w:t>Q</w:t>
      </w:r>
      <w:r>
        <w:rPr>
          <w:rFonts w:hint="eastAsia" w:ascii="微软雅黑" w:hAnsi="微软雅黑" w:eastAsia="微软雅黑" w:cs="微软雅黑"/>
          <w:sz w:val="24"/>
          <w:szCs w:val="24"/>
        </w:rPr>
        <w:t>、大</w:t>
      </w:r>
      <w:r>
        <w:rPr>
          <w:rFonts w:ascii="微软雅黑" w:hAnsi="微软雅黑" w:eastAsia="微软雅黑" w:cs="微软雅黑"/>
          <w:sz w:val="24"/>
          <w:szCs w:val="24"/>
        </w:rPr>
        <w:t>Q</w:t>
      </w:r>
      <w:r>
        <w:rPr>
          <w:rFonts w:hint="eastAsia" w:ascii="微软雅黑" w:hAnsi="微软雅黑" w:eastAsia="微软雅黑" w:cs="微软雅黑"/>
          <w:sz w:val="24"/>
          <w:szCs w:val="24"/>
        </w:rPr>
        <w:t>、经营的</w:t>
      </w:r>
      <w:r>
        <w:rPr>
          <w:rFonts w:ascii="微软雅黑" w:hAnsi="微软雅黑" w:eastAsia="微软雅黑" w:cs="微软雅黑"/>
          <w:sz w:val="24"/>
          <w:szCs w:val="24"/>
        </w:rPr>
        <w:t>Q</w:t>
      </w:r>
      <w:r>
        <w:rPr>
          <w:rFonts w:hint="eastAsia" w:ascii="微软雅黑" w:hAnsi="微软雅黑" w:eastAsia="微软雅黑" w:cs="微软雅黑"/>
          <w:sz w:val="24"/>
          <w:szCs w:val="24"/>
        </w:rPr>
        <w:t>质量、顾客满意及公司战略怎样有效结合</w:t>
      </w:r>
      <w:r>
        <w:rPr>
          <w:rFonts w:ascii="微软雅黑" w:hAnsi="微软雅黑" w:eastAsia="微软雅黑" w:cs="微软雅黑"/>
          <w:sz w:val="24"/>
          <w:szCs w:val="24"/>
        </w:rPr>
        <w:t xml:space="preserve"> </w:t>
      </w:r>
    </w:p>
    <w:p>
      <w:pPr>
        <w:ind w:firstLine="435"/>
        <w:rPr>
          <w:rFonts w:ascii="微软雅黑" w:hAnsi="微软雅黑" w:eastAsia="微软雅黑" w:cs="微软雅黑"/>
          <w:sz w:val="24"/>
          <w:szCs w:val="24"/>
        </w:rPr>
      </w:pPr>
      <w:r>
        <w:rPr>
          <w:rFonts w:hint="eastAsia" w:ascii="微软雅黑" w:hAnsi="微软雅黑" w:eastAsia="微软雅黑" w:cs="微软雅黑"/>
          <w:sz w:val="24"/>
          <w:szCs w:val="24"/>
        </w:rPr>
        <w:t>二、质量成本构成</w:t>
      </w:r>
      <w:r>
        <w:rPr>
          <w:rFonts w:ascii="微软雅黑" w:hAnsi="微软雅黑" w:eastAsia="微软雅黑" w:cs="微软雅黑"/>
          <w:sz w:val="24"/>
          <w:szCs w:val="24"/>
        </w:rPr>
        <w:t xml:space="preserve"> </w:t>
      </w:r>
      <w:r>
        <w:rPr>
          <w:rFonts w:hint="eastAsia" w:ascii="微软雅黑" w:hAnsi="微软雅黑" w:eastAsia="微软雅黑" w:cs="微软雅黑"/>
          <w:sz w:val="24"/>
          <w:szCs w:val="24"/>
        </w:rPr>
        <w:t>什么是质量成本？质量成本基本分类的逻辑质量成本的基本构成：预防、鉴定、内部损失、外部损失</w:t>
      </w:r>
      <w:r>
        <w:rPr>
          <w:rFonts w:ascii="微软雅黑" w:hAnsi="微软雅黑" w:eastAsia="微软雅黑" w:cs="微软雅黑"/>
          <w:sz w:val="24"/>
          <w:szCs w:val="24"/>
        </w:rPr>
        <w:t>.</w:t>
      </w:r>
    </w:p>
    <w:p>
      <w:pPr>
        <w:ind w:firstLine="435"/>
        <w:rPr>
          <w:rFonts w:ascii="微软雅黑" w:hAnsi="微软雅黑" w:eastAsia="微软雅黑" w:cs="微软雅黑"/>
          <w:sz w:val="24"/>
          <w:szCs w:val="24"/>
        </w:rPr>
      </w:pPr>
      <w:r>
        <w:rPr>
          <w:rFonts w:hint="eastAsia" w:ascii="微软雅黑" w:hAnsi="微软雅黑" w:eastAsia="微软雅黑" w:cs="微软雅黑"/>
          <w:sz w:val="24"/>
          <w:szCs w:val="24"/>
        </w:rPr>
        <w:t>三、质量成本哲学</w:t>
      </w:r>
      <w:r>
        <w:rPr>
          <w:rFonts w:ascii="微软雅黑" w:hAnsi="微软雅黑" w:eastAsia="微软雅黑" w:cs="微软雅黑"/>
          <w:sz w:val="24"/>
          <w:szCs w:val="24"/>
        </w:rPr>
        <w:t xml:space="preserve">: </w:t>
      </w:r>
      <w:r>
        <w:rPr>
          <w:rFonts w:hint="eastAsia" w:ascii="微软雅黑" w:hAnsi="微软雅黑" w:eastAsia="微软雅黑" w:cs="微软雅黑"/>
          <w:sz w:val="24"/>
          <w:szCs w:val="24"/>
        </w:rPr>
        <w:t>质量成本曲线战略</w:t>
      </w:r>
      <w:r>
        <w:rPr>
          <w:rFonts w:ascii="微软雅黑" w:hAnsi="微软雅黑" w:eastAsia="微软雅黑" w:cs="微软雅黑"/>
          <w:sz w:val="24"/>
          <w:szCs w:val="24"/>
        </w:rPr>
        <w:t>;</w:t>
      </w:r>
      <w:r>
        <w:rPr>
          <w:rFonts w:hint="eastAsia" w:ascii="微软雅黑" w:hAnsi="微软雅黑" w:eastAsia="微软雅黑" w:cs="微软雅黑"/>
          <w:sz w:val="24"/>
          <w:szCs w:val="24"/>
        </w:rPr>
        <w:t>质量成本模式损失</w:t>
      </w:r>
      <w:r>
        <w:rPr>
          <w:rFonts w:ascii="微软雅黑" w:hAnsi="微软雅黑" w:eastAsia="微软雅黑" w:cs="微软雅黑"/>
          <w:sz w:val="24"/>
          <w:szCs w:val="24"/>
        </w:rPr>
        <w:t>;</w:t>
      </w:r>
      <w:r>
        <w:rPr>
          <w:rFonts w:hint="eastAsia" w:ascii="微软雅黑" w:hAnsi="微软雅黑" w:eastAsia="微软雅黑" w:cs="微软雅黑"/>
          <w:sz w:val="24"/>
          <w:szCs w:val="24"/>
        </w:rPr>
        <w:t>质量成本在质量控制点维度上的变化</w:t>
      </w:r>
      <w:r>
        <w:rPr>
          <w:rFonts w:ascii="微软雅黑" w:hAnsi="微软雅黑" w:eastAsia="微软雅黑" w:cs="微软雅黑"/>
          <w:sz w:val="24"/>
          <w:szCs w:val="24"/>
        </w:rPr>
        <w:t>;</w:t>
      </w:r>
      <w:r>
        <w:rPr>
          <w:rFonts w:hint="eastAsia" w:ascii="微软雅黑" w:hAnsi="微软雅黑" w:eastAsia="微软雅黑" w:cs="微软雅黑"/>
          <w:sz w:val="24"/>
          <w:szCs w:val="24"/>
        </w:rPr>
        <w:t>合格品的质量成本</w:t>
      </w:r>
      <w:r>
        <w:rPr>
          <w:rFonts w:ascii="微软雅黑" w:hAnsi="微软雅黑" w:eastAsia="微软雅黑" w:cs="微软雅黑"/>
          <w:sz w:val="24"/>
          <w:szCs w:val="24"/>
        </w:rPr>
        <w:t>.</w:t>
      </w:r>
      <w:r>
        <w:rPr>
          <w:rFonts w:hint="eastAsia" w:ascii="微软雅黑" w:hAnsi="微软雅黑" w:eastAsia="微软雅黑" w:cs="微软雅黑"/>
          <w:sz w:val="24"/>
          <w:szCs w:val="24"/>
        </w:rPr>
        <w:t>讨论理解：</w:t>
      </w:r>
      <w:r>
        <w:rPr>
          <w:rFonts w:ascii="微软雅黑" w:hAnsi="微软雅黑" w:eastAsia="微软雅黑" w:cs="微软雅黑"/>
          <w:sz w:val="24"/>
          <w:szCs w:val="24"/>
        </w:rPr>
        <w:t>Do it right the first time</w:t>
      </w:r>
      <w:r>
        <w:rPr>
          <w:rFonts w:hint="eastAsia" w:ascii="微软雅黑" w:hAnsi="微软雅黑" w:eastAsia="微软雅黑" w:cs="微软雅黑"/>
          <w:sz w:val="24"/>
          <w:szCs w:val="24"/>
        </w:rPr>
        <w:t>、</w:t>
      </w:r>
      <w:r>
        <w:rPr>
          <w:rFonts w:ascii="微软雅黑" w:hAnsi="微软雅黑" w:eastAsia="微软雅黑" w:cs="微软雅黑"/>
          <w:sz w:val="24"/>
          <w:szCs w:val="24"/>
        </w:rPr>
        <w:t xml:space="preserve">Quality is free </w:t>
      </w:r>
    </w:p>
    <w:p>
      <w:pPr>
        <w:ind w:firstLine="435"/>
        <w:rPr>
          <w:rFonts w:ascii="微软雅黑" w:hAnsi="微软雅黑" w:eastAsia="微软雅黑" w:cs="微软雅黑"/>
          <w:sz w:val="24"/>
          <w:szCs w:val="24"/>
        </w:rPr>
      </w:pPr>
      <w:r>
        <w:rPr>
          <w:rFonts w:hint="eastAsia" w:ascii="微软雅黑" w:hAnsi="微软雅黑" w:eastAsia="微软雅黑" w:cs="微软雅黑"/>
          <w:sz w:val="24"/>
          <w:szCs w:val="24"/>
        </w:rPr>
        <w:t>四、质量成本管理</w:t>
      </w:r>
      <w:r>
        <w:rPr>
          <w:rFonts w:ascii="微软雅黑" w:hAnsi="微软雅黑" w:eastAsia="微软雅黑" w:cs="微软雅黑"/>
          <w:sz w:val="24"/>
          <w:szCs w:val="24"/>
        </w:rPr>
        <w:t xml:space="preserve"> </w:t>
      </w:r>
      <w:r>
        <w:rPr>
          <w:rFonts w:hint="eastAsia" w:ascii="微软雅黑" w:hAnsi="微软雅黑" w:eastAsia="微软雅黑" w:cs="微软雅黑"/>
          <w:sz w:val="24"/>
          <w:szCs w:val="24"/>
        </w:rPr>
        <w:t>质量成本管理及其目标几种质量成本管理模式：质量成本法、过程法、产品法、质量损失法质量成本管理流程质量成本管理体系职责划分</w:t>
      </w:r>
      <w:r>
        <w:rPr>
          <w:rFonts w:ascii="微软雅黑" w:hAnsi="微软雅黑" w:eastAsia="微软雅黑" w:cs="微软雅黑"/>
          <w:sz w:val="24"/>
          <w:szCs w:val="24"/>
        </w:rPr>
        <w:t xml:space="preserve"> </w:t>
      </w:r>
    </w:p>
    <w:p>
      <w:pPr>
        <w:ind w:firstLine="435"/>
        <w:rPr>
          <w:rFonts w:ascii="微软雅黑" w:hAnsi="微软雅黑" w:eastAsia="微软雅黑" w:cs="Times New Roman"/>
          <w:sz w:val="24"/>
          <w:szCs w:val="24"/>
        </w:rPr>
      </w:pPr>
      <w:r>
        <w:rPr>
          <w:rFonts w:hint="eastAsia" w:ascii="微软雅黑" w:hAnsi="微软雅黑" w:eastAsia="微软雅黑" w:cs="微软雅黑"/>
          <w:sz w:val="24"/>
          <w:szCs w:val="24"/>
        </w:rPr>
        <w:t>五、质量成本科目建立。</w:t>
      </w:r>
      <w:r>
        <w:rPr>
          <w:rFonts w:ascii="微软雅黑" w:hAnsi="微软雅黑" w:eastAsia="微软雅黑" w:cs="微软雅黑"/>
          <w:sz w:val="24"/>
          <w:szCs w:val="24"/>
        </w:rPr>
        <w:t xml:space="preserve"> </w:t>
      </w:r>
      <w:r>
        <w:rPr>
          <w:rFonts w:hint="eastAsia" w:ascii="微软雅黑" w:hAnsi="微软雅黑" w:eastAsia="微软雅黑" w:cs="微软雅黑"/>
          <w:sz w:val="24"/>
          <w:szCs w:val="24"/>
        </w:rPr>
        <w:t>三级科目的结构预防成本；常见科目鉴定成本；常见科目内部损失；常见科目外部损失；常见科目</w:t>
      </w:r>
      <w:r>
        <w:rPr>
          <w:rFonts w:ascii="微软雅黑" w:hAnsi="微软雅黑" w:eastAsia="微软雅黑" w:cs="微软雅黑"/>
          <w:sz w:val="24"/>
          <w:szCs w:val="24"/>
        </w:rPr>
        <w:t xml:space="preserve">VDA </w:t>
      </w:r>
      <w:r>
        <w:rPr>
          <w:rFonts w:hint="eastAsia" w:ascii="微软雅黑" w:hAnsi="微软雅黑" w:eastAsia="微软雅黑" w:cs="微软雅黑"/>
          <w:sz w:val="24"/>
          <w:szCs w:val="24"/>
        </w:rPr>
        <w:t>标准对质量成本科目的要求</w:t>
      </w:r>
      <w:r>
        <w:rPr>
          <w:rFonts w:ascii="微软雅黑" w:hAnsi="微软雅黑" w:eastAsia="微软雅黑" w:cs="微软雅黑"/>
          <w:sz w:val="24"/>
          <w:szCs w:val="24"/>
        </w:rPr>
        <w:t xml:space="preserve"> </w:t>
      </w:r>
      <w:r>
        <w:rPr>
          <w:rFonts w:hint="eastAsia" w:ascii="微软雅黑" w:hAnsi="微软雅黑" w:eastAsia="微软雅黑" w:cs="微软雅黑"/>
          <w:sz w:val="24"/>
          <w:szCs w:val="24"/>
        </w:rPr>
        <w:t>。</w:t>
      </w:r>
    </w:p>
    <w:p>
      <w:pPr>
        <w:ind w:firstLine="435"/>
        <w:rPr>
          <w:rFonts w:ascii="微软雅黑" w:hAnsi="微软雅黑" w:eastAsia="微软雅黑" w:cs="微软雅黑"/>
          <w:sz w:val="24"/>
          <w:szCs w:val="24"/>
        </w:rPr>
      </w:pPr>
      <w:r>
        <w:rPr>
          <w:rFonts w:hint="eastAsia" w:ascii="微软雅黑" w:hAnsi="微软雅黑" w:eastAsia="微软雅黑" w:cs="微软雅黑"/>
          <w:sz w:val="24"/>
          <w:szCs w:val="24"/>
        </w:rPr>
        <w:t>六、质量成本数据管理</w:t>
      </w:r>
      <w:r>
        <w:rPr>
          <w:rFonts w:ascii="微软雅黑" w:hAnsi="微软雅黑" w:eastAsia="微软雅黑" w:cs="微软雅黑"/>
          <w:sz w:val="24"/>
          <w:szCs w:val="24"/>
        </w:rPr>
        <w:t xml:space="preserve">: </w:t>
      </w:r>
      <w:r>
        <w:rPr>
          <w:rFonts w:hint="eastAsia" w:ascii="微软雅黑" w:hAnsi="微软雅黑" w:eastAsia="微软雅黑" w:cs="微软雅黑"/>
          <w:sz w:val="24"/>
          <w:szCs w:val="24"/>
        </w:rPr>
        <w:t>质量成本会计数据的取得</w:t>
      </w:r>
      <w:r>
        <w:rPr>
          <w:rFonts w:ascii="微软雅黑" w:hAnsi="微软雅黑" w:eastAsia="微软雅黑" w:cs="微软雅黑"/>
          <w:sz w:val="24"/>
          <w:szCs w:val="24"/>
        </w:rPr>
        <w:t>;</w:t>
      </w:r>
      <w:r>
        <w:rPr>
          <w:rFonts w:hint="eastAsia" w:ascii="微软雅黑" w:hAnsi="微软雅黑" w:eastAsia="微软雅黑" w:cs="微软雅黑"/>
          <w:sz w:val="24"/>
          <w:szCs w:val="24"/>
        </w:rPr>
        <w:t>质量成本统计数据取得</w:t>
      </w:r>
      <w:r>
        <w:rPr>
          <w:rFonts w:ascii="微软雅黑" w:hAnsi="微软雅黑" w:eastAsia="微软雅黑" w:cs="微软雅黑"/>
          <w:sz w:val="24"/>
          <w:szCs w:val="24"/>
        </w:rPr>
        <w:t>;</w:t>
      </w:r>
      <w:r>
        <w:rPr>
          <w:rFonts w:hint="eastAsia" w:ascii="微软雅黑" w:hAnsi="微软雅黑" w:eastAsia="微软雅黑" w:cs="微软雅黑"/>
          <w:sz w:val="24"/>
          <w:szCs w:val="24"/>
        </w:rPr>
        <w:t>质量成本数据计算的五种方法</w:t>
      </w:r>
      <w:r>
        <w:rPr>
          <w:rFonts w:ascii="微软雅黑" w:hAnsi="微软雅黑" w:eastAsia="微软雅黑" w:cs="微软雅黑"/>
          <w:sz w:val="24"/>
          <w:szCs w:val="24"/>
        </w:rPr>
        <w:t>;</w:t>
      </w:r>
      <w:r>
        <w:rPr>
          <w:rFonts w:hint="eastAsia" w:ascii="微软雅黑" w:hAnsi="微软雅黑" w:eastAsia="微软雅黑" w:cs="微软雅黑"/>
          <w:sz w:val="24"/>
          <w:szCs w:val="24"/>
        </w:rPr>
        <w:t>质量成本</w:t>
      </w:r>
      <w:r>
        <w:rPr>
          <w:rFonts w:ascii="微软雅黑" w:hAnsi="微软雅黑" w:eastAsia="微软雅黑" w:cs="微软雅黑"/>
          <w:sz w:val="24"/>
          <w:szCs w:val="24"/>
        </w:rPr>
        <w:t>ABC;</w:t>
      </w:r>
      <w:r>
        <w:rPr>
          <w:rFonts w:hint="eastAsia" w:ascii="微软雅黑" w:hAnsi="微软雅黑" w:eastAsia="微软雅黑" w:cs="微软雅黑"/>
          <w:sz w:val="24"/>
          <w:szCs w:val="24"/>
        </w:rPr>
        <w:t>成本法质量成本数据汇总</w:t>
      </w:r>
      <w:r>
        <w:rPr>
          <w:rFonts w:ascii="微软雅黑" w:hAnsi="微软雅黑" w:eastAsia="微软雅黑" w:cs="微软雅黑"/>
          <w:sz w:val="24"/>
          <w:szCs w:val="24"/>
        </w:rPr>
        <w:t>.</w:t>
      </w:r>
    </w:p>
    <w:p>
      <w:pPr>
        <w:ind w:firstLine="435"/>
        <w:rPr>
          <w:rFonts w:ascii="微软雅黑" w:hAnsi="微软雅黑" w:eastAsia="微软雅黑" w:cs="微软雅黑"/>
          <w:sz w:val="24"/>
          <w:szCs w:val="24"/>
        </w:rPr>
      </w:pPr>
      <w:r>
        <w:rPr>
          <w:rFonts w:hint="eastAsia" w:ascii="微软雅黑" w:hAnsi="微软雅黑" w:eastAsia="微软雅黑" w:cs="微软雅黑"/>
          <w:sz w:val="24"/>
          <w:szCs w:val="24"/>
        </w:rPr>
        <w:t>七、质量成本分析及其报告</w:t>
      </w:r>
      <w:r>
        <w:rPr>
          <w:rFonts w:ascii="微软雅黑" w:hAnsi="微软雅黑" w:eastAsia="微软雅黑" w:cs="微软雅黑"/>
          <w:sz w:val="24"/>
          <w:szCs w:val="24"/>
        </w:rPr>
        <w:t xml:space="preserve">      </w:t>
      </w:r>
    </w:p>
    <w:p>
      <w:pPr>
        <w:ind w:firstLine="435"/>
        <w:rPr>
          <w:rFonts w:ascii="微软雅黑" w:hAnsi="微软雅黑" w:eastAsia="微软雅黑" w:cs="微软雅黑"/>
          <w:sz w:val="24"/>
          <w:szCs w:val="24"/>
        </w:rPr>
      </w:pPr>
      <w:r>
        <w:rPr>
          <w:rFonts w:hint="eastAsia" w:ascii="微软雅黑" w:hAnsi="微软雅黑" w:eastAsia="微软雅黑" w:cs="微软雅黑"/>
          <w:sz w:val="24"/>
          <w:szCs w:val="24"/>
        </w:rPr>
        <w:t>质量成本排列图分析</w:t>
      </w:r>
      <w:r>
        <w:rPr>
          <w:rFonts w:ascii="微软雅黑" w:hAnsi="微软雅黑" w:eastAsia="微软雅黑" w:cs="微软雅黑"/>
          <w:sz w:val="24"/>
          <w:szCs w:val="24"/>
        </w:rPr>
        <w:t>;</w:t>
      </w:r>
      <w:r>
        <w:rPr>
          <w:rFonts w:hint="eastAsia" w:ascii="微软雅黑" w:hAnsi="微软雅黑" w:eastAsia="微软雅黑" w:cs="微软雅黑"/>
          <w:sz w:val="24"/>
          <w:szCs w:val="24"/>
        </w:rPr>
        <w:t>质量成本指标目标分析</w:t>
      </w:r>
      <w:r>
        <w:rPr>
          <w:rFonts w:ascii="微软雅黑" w:hAnsi="微软雅黑" w:eastAsia="微软雅黑" w:cs="微软雅黑"/>
          <w:sz w:val="24"/>
          <w:szCs w:val="24"/>
        </w:rPr>
        <w:t>;</w:t>
      </w:r>
      <w:r>
        <w:rPr>
          <w:rFonts w:hint="eastAsia" w:ascii="微软雅黑" w:hAnsi="微软雅黑" w:eastAsia="微软雅黑" w:cs="微软雅黑"/>
          <w:sz w:val="24"/>
          <w:szCs w:val="24"/>
        </w:rPr>
        <w:t>质量成本结构分析</w:t>
      </w:r>
      <w:r>
        <w:rPr>
          <w:rFonts w:ascii="微软雅黑" w:hAnsi="微软雅黑" w:eastAsia="微软雅黑" w:cs="微软雅黑"/>
          <w:sz w:val="24"/>
          <w:szCs w:val="24"/>
        </w:rPr>
        <w:t>;</w:t>
      </w:r>
      <w:r>
        <w:rPr>
          <w:rFonts w:hint="eastAsia" w:ascii="微软雅黑" w:hAnsi="微软雅黑" w:eastAsia="微软雅黑" w:cs="微软雅黑"/>
          <w:sz w:val="24"/>
          <w:szCs w:val="24"/>
        </w:rPr>
        <w:t>质量成本经济指标分析</w:t>
      </w:r>
      <w:r>
        <w:rPr>
          <w:rFonts w:ascii="微软雅黑" w:hAnsi="微软雅黑" w:eastAsia="微软雅黑" w:cs="微软雅黑"/>
          <w:sz w:val="24"/>
          <w:szCs w:val="24"/>
        </w:rPr>
        <w:t>;</w:t>
      </w:r>
      <w:r>
        <w:rPr>
          <w:rFonts w:hint="eastAsia" w:ascii="微软雅黑" w:hAnsi="微软雅黑" w:eastAsia="微软雅黑" w:cs="微软雅黑"/>
          <w:sz w:val="24"/>
          <w:szCs w:val="24"/>
        </w:rPr>
        <w:t>质量成本趋势分析</w:t>
      </w:r>
      <w:r>
        <w:rPr>
          <w:rFonts w:ascii="微软雅黑" w:hAnsi="微软雅黑" w:eastAsia="微软雅黑" w:cs="微软雅黑"/>
          <w:sz w:val="24"/>
          <w:szCs w:val="24"/>
        </w:rPr>
        <w:t>;</w:t>
      </w:r>
      <w:r>
        <w:rPr>
          <w:rFonts w:hint="eastAsia" w:ascii="微软雅黑" w:hAnsi="微软雅黑" w:eastAsia="微软雅黑" w:cs="微软雅黑"/>
          <w:sz w:val="24"/>
          <w:szCs w:val="24"/>
        </w:rPr>
        <w:t>质量成本责任部门归集质量成本报告</w:t>
      </w:r>
      <w:r>
        <w:rPr>
          <w:rFonts w:ascii="微软雅黑" w:hAnsi="微软雅黑" w:eastAsia="微软雅黑" w:cs="微软雅黑"/>
          <w:sz w:val="24"/>
          <w:szCs w:val="24"/>
        </w:rPr>
        <w:t xml:space="preserve">. </w:t>
      </w:r>
    </w:p>
    <w:p>
      <w:pPr>
        <w:ind w:firstLine="435"/>
        <w:rPr>
          <w:rFonts w:ascii="微软雅黑" w:hAnsi="微软雅黑" w:eastAsia="微软雅黑" w:cs="微软雅黑"/>
          <w:sz w:val="24"/>
          <w:szCs w:val="24"/>
        </w:rPr>
      </w:pPr>
      <w:r>
        <w:rPr>
          <w:rFonts w:hint="eastAsia" w:ascii="微软雅黑" w:hAnsi="微软雅黑" w:eastAsia="微软雅黑" w:cs="微软雅黑"/>
          <w:sz w:val="24"/>
          <w:szCs w:val="24"/>
        </w:rPr>
        <w:t>八、质量成本计划及控制</w:t>
      </w:r>
      <w:r>
        <w:rPr>
          <w:rFonts w:ascii="微软雅黑" w:hAnsi="微软雅黑" w:eastAsia="微软雅黑" w:cs="微软雅黑"/>
          <w:sz w:val="24"/>
          <w:szCs w:val="24"/>
        </w:rPr>
        <w:t xml:space="preserve">; </w:t>
      </w:r>
      <w:r>
        <w:rPr>
          <w:rFonts w:hint="eastAsia" w:ascii="微软雅黑" w:hAnsi="微软雅黑" w:eastAsia="微软雅黑" w:cs="微软雅黑"/>
          <w:sz w:val="24"/>
          <w:szCs w:val="24"/>
        </w:rPr>
        <w:t>质量成本计划内容</w:t>
      </w:r>
      <w:r>
        <w:rPr>
          <w:rFonts w:ascii="微软雅黑" w:hAnsi="微软雅黑" w:eastAsia="微软雅黑" w:cs="微软雅黑"/>
          <w:sz w:val="24"/>
          <w:szCs w:val="24"/>
        </w:rPr>
        <w:t>;</w:t>
      </w:r>
      <w:r>
        <w:rPr>
          <w:rFonts w:hint="eastAsia" w:ascii="微软雅黑" w:hAnsi="微软雅黑" w:eastAsia="微软雅黑" w:cs="微软雅黑"/>
          <w:sz w:val="24"/>
          <w:szCs w:val="24"/>
        </w:rPr>
        <w:t>质量成本计划编制步骤</w:t>
      </w:r>
      <w:r>
        <w:rPr>
          <w:rFonts w:ascii="微软雅黑" w:hAnsi="微软雅黑" w:eastAsia="微软雅黑" w:cs="微软雅黑"/>
          <w:sz w:val="24"/>
          <w:szCs w:val="24"/>
        </w:rPr>
        <w:t>;</w:t>
      </w:r>
      <w:r>
        <w:rPr>
          <w:rFonts w:hint="eastAsia" w:ascii="微软雅黑" w:hAnsi="微软雅黑" w:eastAsia="微软雅黑" w:cs="微软雅黑"/>
          <w:sz w:val="24"/>
          <w:szCs w:val="24"/>
        </w:rPr>
        <w:t>质量成本调整原则</w:t>
      </w:r>
      <w:r>
        <w:rPr>
          <w:rFonts w:ascii="微软雅黑" w:hAnsi="微软雅黑" w:eastAsia="微软雅黑" w:cs="微软雅黑"/>
          <w:sz w:val="24"/>
          <w:szCs w:val="24"/>
        </w:rPr>
        <w:t>;</w:t>
      </w:r>
      <w:r>
        <w:rPr>
          <w:rFonts w:hint="eastAsia" w:ascii="微软雅黑" w:hAnsi="微软雅黑" w:eastAsia="微软雅黑" w:cs="微软雅黑"/>
          <w:sz w:val="24"/>
          <w:szCs w:val="24"/>
        </w:rPr>
        <w:t>质量成本预算的确定</w:t>
      </w:r>
      <w:r>
        <w:rPr>
          <w:rFonts w:ascii="微软雅黑" w:hAnsi="微软雅黑" w:eastAsia="微软雅黑" w:cs="微软雅黑"/>
          <w:sz w:val="24"/>
          <w:szCs w:val="24"/>
        </w:rPr>
        <w:t>;</w:t>
      </w:r>
      <w:r>
        <w:rPr>
          <w:rFonts w:hint="eastAsia" w:ascii="微软雅黑" w:hAnsi="微软雅黑" w:eastAsia="微软雅黑" w:cs="微软雅黑"/>
          <w:sz w:val="24"/>
          <w:szCs w:val="24"/>
        </w:rPr>
        <w:t>质量成本的日常控制及考核</w:t>
      </w:r>
      <w:r>
        <w:rPr>
          <w:rFonts w:ascii="微软雅黑" w:hAnsi="微软雅黑" w:eastAsia="微软雅黑" w:cs="微软雅黑"/>
          <w:sz w:val="24"/>
          <w:szCs w:val="24"/>
        </w:rPr>
        <w:t>.</w:t>
      </w:r>
    </w:p>
    <w:p>
      <w:pPr>
        <w:ind w:firstLine="435"/>
        <w:rPr>
          <w:rFonts w:ascii="微软雅黑" w:hAnsi="微软雅黑" w:eastAsia="微软雅黑" w:cs="微软雅黑"/>
          <w:sz w:val="24"/>
          <w:szCs w:val="24"/>
        </w:rPr>
      </w:pPr>
      <w:r>
        <w:rPr>
          <w:rFonts w:hint="eastAsia" w:ascii="微软雅黑" w:hAnsi="微软雅黑" w:eastAsia="微软雅黑" w:cs="微软雅黑"/>
          <w:sz w:val="24"/>
          <w:szCs w:val="24"/>
        </w:rPr>
        <w:t>九、质量成本改进：</w:t>
      </w:r>
      <w:r>
        <w:rPr>
          <w:rFonts w:ascii="微软雅黑" w:hAnsi="微软雅黑" w:eastAsia="微软雅黑" w:cs="微软雅黑"/>
          <w:sz w:val="24"/>
          <w:szCs w:val="24"/>
        </w:rPr>
        <w:t xml:space="preserve"> </w:t>
      </w:r>
      <w:r>
        <w:rPr>
          <w:rFonts w:hint="eastAsia" w:ascii="微软雅黑" w:hAnsi="微软雅黑" w:eastAsia="微软雅黑" w:cs="微软雅黑"/>
          <w:sz w:val="24"/>
          <w:szCs w:val="24"/>
        </w:rPr>
        <w:t>解决问题的</w:t>
      </w:r>
      <w:r>
        <w:rPr>
          <w:rFonts w:ascii="微软雅黑" w:hAnsi="微软雅黑" w:eastAsia="微软雅黑" w:cs="微软雅黑"/>
          <w:sz w:val="24"/>
          <w:szCs w:val="24"/>
        </w:rPr>
        <w:t>PDCA</w:t>
      </w:r>
      <w:r>
        <w:rPr>
          <w:rFonts w:hint="eastAsia" w:ascii="微软雅黑" w:hAnsi="微软雅黑" w:eastAsia="微软雅黑" w:cs="微软雅黑"/>
          <w:sz w:val="24"/>
          <w:szCs w:val="24"/>
        </w:rPr>
        <w:t>模式；质量成本改进的组织形式；；质量成本改进目标的制定</w:t>
      </w:r>
      <w:r>
        <w:rPr>
          <w:rFonts w:ascii="微软雅黑" w:hAnsi="微软雅黑" w:eastAsia="微软雅黑" w:cs="微软雅黑"/>
          <w:sz w:val="24"/>
          <w:szCs w:val="24"/>
        </w:rPr>
        <w:t>;</w:t>
      </w:r>
      <w:r>
        <w:rPr>
          <w:rFonts w:hint="eastAsia" w:ascii="微软雅黑" w:hAnsi="微软雅黑" w:eastAsia="微软雅黑" w:cs="微软雅黑"/>
          <w:sz w:val="24"/>
          <w:szCs w:val="24"/>
        </w:rPr>
        <w:t>常用质量成本改进技术和应用案例</w:t>
      </w:r>
      <w:r>
        <w:rPr>
          <w:rFonts w:ascii="微软雅黑" w:hAnsi="微软雅黑" w:eastAsia="微软雅黑" w:cs="微软雅黑"/>
          <w:sz w:val="24"/>
          <w:szCs w:val="24"/>
        </w:rPr>
        <w:t>.</w:t>
      </w:r>
    </w:p>
    <w:p>
      <w:pPr>
        <w:ind w:firstLine="435"/>
        <w:rPr>
          <w:rFonts w:ascii="微软雅黑" w:hAnsi="微软雅黑" w:eastAsia="微软雅黑" w:cs="微软雅黑"/>
          <w:sz w:val="24"/>
          <w:szCs w:val="24"/>
        </w:rPr>
      </w:pPr>
      <w:r>
        <w:rPr>
          <w:rFonts w:hint="eastAsia" w:ascii="微软雅黑" w:hAnsi="微软雅黑" w:eastAsia="微软雅黑" w:cs="微软雅黑"/>
          <w:sz w:val="24"/>
          <w:szCs w:val="24"/>
        </w:rPr>
        <w:t>十、</w:t>
      </w:r>
      <w:r>
        <w:rPr>
          <w:rFonts w:ascii="微软雅黑" w:hAnsi="微软雅黑" w:eastAsia="微软雅黑" w:cs="微软雅黑"/>
          <w:sz w:val="24"/>
          <w:szCs w:val="24"/>
        </w:rPr>
        <w:t>ISO/TR 10014</w:t>
      </w:r>
      <w:r>
        <w:rPr>
          <w:rFonts w:hint="eastAsia" w:ascii="微软雅黑" w:hAnsi="微软雅黑" w:eastAsia="微软雅黑" w:cs="微软雅黑"/>
          <w:sz w:val="24"/>
          <w:szCs w:val="24"/>
        </w:rPr>
        <w:t>：</w:t>
      </w:r>
      <w:r>
        <w:rPr>
          <w:rFonts w:ascii="微软雅黑" w:hAnsi="微软雅黑" w:eastAsia="微软雅黑" w:cs="微软雅黑"/>
          <w:sz w:val="24"/>
          <w:szCs w:val="24"/>
        </w:rPr>
        <w:t>1998</w:t>
      </w:r>
      <w:r>
        <w:rPr>
          <w:rFonts w:hint="eastAsia" w:ascii="微软雅黑" w:hAnsi="微软雅黑" w:eastAsia="微软雅黑" w:cs="微软雅黑"/>
          <w:sz w:val="24"/>
          <w:szCs w:val="24"/>
        </w:rPr>
        <w:t>《质量经济性管理指南》过程及过程方法</w:t>
      </w:r>
      <w:r>
        <w:rPr>
          <w:rFonts w:ascii="微软雅黑" w:hAnsi="微软雅黑" w:eastAsia="微软雅黑" w:cs="微软雅黑"/>
          <w:sz w:val="24"/>
          <w:szCs w:val="24"/>
        </w:rPr>
        <w:t>;</w:t>
      </w:r>
      <w:r>
        <w:rPr>
          <w:rFonts w:hint="eastAsia" w:ascii="微软雅黑" w:hAnsi="微软雅黑" w:eastAsia="微软雅黑" w:cs="微软雅黑"/>
          <w:sz w:val="24"/>
          <w:szCs w:val="24"/>
        </w:rPr>
        <w:t>质量成本的过程方法</w:t>
      </w:r>
      <w:r>
        <w:rPr>
          <w:rFonts w:ascii="微软雅黑" w:hAnsi="微软雅黑" w:eastAsia="微软雅黑" w:cs="微软雅黑"/>
          <w:sz w:val="24"/>
          <w:szCs w:val="24"/>
        </w:rPr>
        <w:t>;</w:t>
      </w:r>
      <w:r>
        <w:rPr>
          <w:rFonts w:hint="eastAsia" w:ascii="微软雅黑" w:hAnsi="微软雅黑" w:eastAsia="微软雅黑" w:cs="微软雅黑"/>
          <w:sz w:val="24"/>
          <w:szCs w:val="24"/>
        </w:rPr>
        <w:t>及其核算顾客满意</w:t>
      </w:r>
      <w:r>
        <w:rPr>
          <w:rFonts w:ascii="微软雅黑" w:hAnsi="微软雅黑" w:eastAsia="微软雅黑" w:cs="微软雅黑"/>
          <w:sz w:val="24"/>
          <w:szCs w:val="24"/>
        </w:rPr>
        <w:t>;KANO</w:t>
      </w:r>
      <w:r>
        <w:rPr>
          <w:rFonts w:hint="eastAsia" w:ascii="微软雅黑" w:hAnsi="微软雅黑" w:eastAsia="微软雅黑" w:cs="微软雅黑"/>
          <w:sz w:val="24"/>
          <w:szCs w:val="24"/>
        </w:rPr>
        <w:t>模型顾客满意测量过程</w:t>
      </w:r>
      <w:r>
        <w:rPr>
          <w:rFonts w:ascii="微软雅黑" w:hAnsi="微软雅黑" w:eastAsia="微软雅黑" w:cs="微软雅黑"/>
          <w:sz w:val="24"/>
          <w:szCs w:val="24"/>
        </w:rPr>
        <w:t>;</w:t>
      </w:r>
      <w:r>
        <w:rPr>
          <w:rFonts w:hint="eastAsia" w:ascii="微软雅黑" w:hAnsi="微软雅黑" w:eastAsia="微软雅黑" w:cs="微软雅黑"/>
          <w:sz w:val="24"/>
          <w:szCs w:val="24"/>
        </w:rPr>
        <w:t>成本及收益分析</w:t>
      </w:r>
      <w:r>
        <w:rPr>
          <w:rFonts w:ascii="微软雅黑" w:hAnsi="微软雅黑" w:eastAsia="微软雅黑" w:cs="微软雅黑"/>
          <w:sz w:val="24"/>
          <w:szCs w:val="24"/>
        </w:rPr>
        <w:t>;</w:t>
      </w:r>
      <w:r>
        <w:rPr>
          <w:rFonts w:hint="eastAsia" w:ascii="微软雅黑" w:hAnsi="微软雅黑" w:eastAsia="微软雅黑" w:cs="微软雅黑"/>
          <w:sz w:val="24"/>
          <w:szCs w:val="24"/>
        </w:rPr>
        <w:t>平衡记分卡及战略地图</w:t>
      </w:r>
      <w:r>
        <w:rPr>
          <w:rFonts w:ascii="微软雅黑" w:hAnsi="微软雅黑" w:eastAsia="微软雅黑" w:cs="微软雅黑"/>
          <w:sz w:val="24"/>
          <w:szCs w:val="24"/>
        </w:rPr>
        <w:t xml:space="preserve">.      </w:t>
      </w:r>
    </w:p>
    <w:p>
      <w:pPr>
        <w:ind w:firstLine="435"/>
        <w:rPr>
          <w:rFonts w:ascii="微软雅黑" w:hAnsi="微软雅黑" w:eastAsia="微软雅黑" w:cs="Times New Roman"/>
          <w:sz w:val="24"/>
          <w:szCs w:val="24"/>
        </w:rPr>
      </w:pPr>
      <w:r>
        <w:rPr>
          <w:rFonts w:hint="eastAsia" w:ascii="微软雅黑" w:hAnsi="微软雅黑" w:eastAsia="微软雅黑" w:cs="微软雅黑"/>
          <w:sz w:val="24"/>
          <w:szCs w:val="24"/>
        </w:rPr>
        <w:t>十一、质量成本管理体系的建立及常见缺陷；质量成本管理体系建立流程和技巧；质量成本管理的文件化审核，及咨询中常见的质量成本缺陷</w:t>
      </w:r>
      <w:r>
        <w:rPr>
          <w:rFonts w:ascii="微软雅黑" w:hAnsi="微软雅黑" w:eastAsia="微软雅黑" w:cs="微软雅黑"/>
          <w:sz w:val="24"/>
          <w:szCs w:val="24"/>
        </w:rPr>
        <w:t>Q&amp;A</w:t>
      </w:r>
      <w:r>
        <w:rPr>
          <w:rFonts w:hint="eastAsia" w:ascii="微软雅黑" w:hAnsi="微软雅黑" w:eastAsia="微软雅黑" w:cs="微软雅黑"/>
          <w:sz w:val="24"/>
          <w:szCs w:val="24"/>
        </w:rPr>
        <w:t>。</w:t>
      </w:r>
    </w:p>
    <w:p>
      <w:pPr>
        <w:rPr>
          <w:rFonts w:ascii="微软雅黑" w:hAnsi="微软雅黑" w:eastAsia="微软雅黑" w:cs="Times New Roman"/>
          <w:sz w:val="24"/>
          <w:szCs w:val="24"/>
        </w:rPr>
      </w:pPr>
      <w:r>
        <w:rPr>
          <w:rFonts w:ascii="微软雅黑" w:hAnsi="微软雅黑" w:eastAsia="微软雅黑" w:cs="微软雅黑"/>
          <w:sz w:val="24"/>
          <w:szCs w:val="24"/>
        </w:rPr>
        <w:t xml:space="preserve"> </w:t>
      </w:r>
      <w:r>
        <w:rPr>
          <w:rFonts w:hint="eastAsia" w:ascii="微软雅黑" w:hAnsi="微软雅黑" w:eastAsia="微软雅黑" w:cs="微软雅黑"/>
          <w:b/>
          <w:bCs/>
          <w:sz w:val="24"/>
          <w:szCs w:val="24"/>
        </w:rPr>
        <w:t>黄俭老师资历</w:t>
      </w:r>
      <w:r>
        <w:rPr>
          <w:rFonts w:hint="eastAsia" w:ascii="微软雅黑" w:hAnsi="微软雅黑" w:eastAsia="微软雅黑" w:cs="微软雅黑"/>
          <w:sz w:val="24"/>
          <w:szCs w:val="24"/>
        </w:rPr>
        <w:t>：中国首届企业管理咨询师，高级会计师、有多年大型企业集团高级财务管理经验和十年的培训咨询经验。黄老师目前是蓝草企业管理咨询有限公司首席财务讲师上海企业家协会特聘财务讲师。</w:t>
      </w:r>
    </w:p>
    <w:p>
      <w:pPr>
        <w:rPr>
          <w:rFonts w:ascii="微软雅黑" w:hAnsi="微软雅黑" w:eastAsia="微软雅黑" w:cs="Times New Roman"/>
          <w:sz w:val="24"/>
          <w:szCs w:val="24"/>
        </w:rPr>
      </w:pPr>
      <w:r>
        <w:rPr>
          <w:rFonts w:hint="eastAsia" w:ascii="微软雅黑" w:hAnsi="微软雅黑" w:eastAsia="微软雅黑" w:cs="微软雅黑"/>
          <w:b/>
          <w:bCs/>
          <w:sz w:val="24"/>
          <w:szCs w:val="24"/>
        </w:rPr>
        <w:t>黄老师背景：</w:t>
      </w:r>
      <w:r>
        <w:rPr>
          <w:rFonts w:hint="eastAsia" w:ascii="微软雅黑" w:hAnsi="微软雅黑" w:eastAsia="微软雅黑" w:cs="微软雅黑"/>
          <w:sz w:val="24"/>
          <w:szCs w:val="24"/>
        </w:rPr>
        <w:t>多年的实战经验，让他把繁琐的财务工作讲解通俗易懂，让非财务人员快速成为理财行家！黄老师曾在大中华集团公司，河南羚锐股份有限公司，圣象集团担任财务经理。</w:t>
      </w:r>
    </w:p>
    <w:p>
      <w:pPr>
        <w:rPr>
          <w:rFonts w:ascii="微软雅黑" w:hAnsi="微软雅黑" w:eastAsia="微软雅黑" w:cs="Times New Roman"/>
          <w:sz w:val="24"/>
          <w:szCs w:val="24"/>
        </w:rPr>
      </w:pPr>
      <w:r>
        <w:rPr>
          <w:rFonts w:hint="eastAsia" w:ascii="微软雅黑" w:hAnsi="微软雅黑" w:eastAsia="微软雅黑" w:cs="微软雅黑"/>
          <w:b/>
          <w:bCs/>
          <w:sz w:val="24"/>
          <w:szCs w:val="24"/>
        </w:rPr>
        <w:t>黄老师主讲课程：《</w:t>
      </w:r>
      <w:r>
        <w:rPr>
          <w:rFonts w:hint="eastAsia" w:ascii="微软雅黑" w:hAnsi="微软雅黑" w:eastAsia="微软雅黑" w:cs="微软雅黑"/>
          <w:sz w:val="24"/>
          <w:szCs w:val="24"/>
        </w:rPr>
        <w:t>总经理的财务管理》、《财务报表解读与分析》、《非财务经理的财务管理》、《内部控制及风险管理》、《</w:t>
      </w:r>
      <w:r>
        <w:rPr>
          <w:rFonts w:ascii="微软雅黑" w:hAnsi="微软雅黑" w:eastAsia="微软雅黑" w:cs="微软雅黑"/>
          <w:sz w:val="24"/>
          <w:szCs w:val="24"/>
        </w:rPr>
        <w:t>EVA</w:t>
      </w:r>
      <w:r>
        <w:rPr>
          <w:rFonts w:hint="eastAsia" w:ascii="微软雅黑" w:hAnsi="微软雅黑" w:eastAsia="微软雅黑" w:cs="微软雅黑"/>
          <w:sz w:val="24"/>
          <w:szCs w:val="24"/>
        </w:rPr>
        <w:t>》、《成本会计》、《全面质量成本管理》、《税务策划与税务管理》、《全面预算管理与控制》、《成本控制与分析》</w:t>
      </w:r>
    </w:p>
    <w:p>
      <w:pPr>
        <w:rPr>
          <w:rFonts w:ascii="微软雅黑" w:hAnsi="微软雅黑" w:eastAsia="微软雅黑" w:cs="Times New Roman"/>
          <w:sz w:val="24"/>
          <w:szCs w:val="24"/>
        </w:rPr>
      </w:pPr>
      <w:r>
        <w:rPr>
          <w:rFonts w:hint="eastAsia" w:ascii="微软雅黑" w:hAnsi="微软雅黑" w:eastAsia="微软雅黑" w:cs="微软雅黑"/>
          <w:b/>
          <w:bCs/>
          <w:sz w:val="24"/>
          <w:szCs w:val="24"/>
        </w:rPr>
        <w:t>培训过的客户中知名公司：</w:t>
      </w:r>
      <w:r>
        <w:rPr>
          <w:rFonts w:hint="eastAsia" w:ascii="微软雅黑" w:hAnsi="微软雅黑" w:eastAsia="微软雅黑" w:cs="微软雅黑"/>
          <w:sz w:val="24"/>
          <w:szCs w:val="24"/>
        </w:rPr>
        <w:t>武钢、际华国际、中国国航、宁德时代、东风汽车、广本汽车、虹桥机场、欧姆龙国际、上海市政府下属发改委等单位。</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推荐理由</w:t>
      </w:r>
      <w:r>
        <w:rPr>
          <w:rFonts w:ascii="微软雅黑" w:hAnsi="微软雅黑" w:eastAsia="微软雅黑" w:cs="微软雅黑"/>
          <w:sz w:val="24"/>
          <w:szCs w:val="24"/>
        </w:rPr>
        <w:t>:</w:t>
      </w:r>
      <w:r>
        <w:rPr>
          <w:rFonts w:hint="eastAsia" w:ascii="微软雅黑" w:hAnsi="微软雅黑" w:eastAsia="微软雅黑" w:cs="微软雅黑"/>
          <w:sz w:val="24"/>
          <w:szCs w:val="24"/>
        </w:rPr>
        <w:t>黄老师分享都是干货，内容实战又不缺乏幽默；课程突出实用性、故事性、新鲜性和幽默性。通过一系列财务管理案例剖析点评，使企业管理人员快速掌握一些财务管理先进理念，分析技巧、提高解决问题的能力。</w:t>
      </w:r>
    </w:p>
    <w:p>
      <w:pPr>
        <w:rPr>
          <w:rFonts w:ascii="微软雅黑" w:hAnsi="微软雅黑" w:eastAsia="微软雅黑" w:cs="Times New Roman"/>
          <w:sz w:val="24"/>
          <w:szCs w:val="24"/>
        </w:rPr>
      </w:pPr>
    </w:p>
    <w:p>
      <w:pPr>
        <w:rPr>
          <w:rFonts w:ascii="微软雅黑" w:hAnsi="微软雅黑" w:eastAsia="微软雅黑" w:cs="Times New Roman"/>
          <w:sz w:val="24"/>
          <w:szCs w:val="24"/>
        </w:rPr>
      </w:pPr>
    </w:p>
    <w:p>
      <w:pPr>
        <w:rPr>
          <w:rFonts w:ascii="微软雅黑" w:hAnsi="微软雅黑" w:eastAsia="微软雅黑" w:cs="Times New Roman"/>
          <w:sz w:val="24"/>
          <w:szCs w:val="24"/>
        </w:rPr>
      </w:pPr>
    </w:p>
    <w:p>
      <w:pPr>
        <w:rPr>
          <w:rFonts w:ascii="微软雅黑" w:hAnsi="微软雅黑" w:eastAsia="微软雅黑" w:cs="Times New Roman"/>
          <w:sz w:val="24"/>
          <w:szCs w:val="24"/>
        </w:rPr>
      </w:pPr>
    </w:p>
    <w:p>
      <w:pPr>
        <w:pStyle w:val="19"/>
        <w:spacing w:line="360" w:lineRule="auto"/>
        <w:jc w:val="center"/>
        <w:rPr>
          <w:rFonts w:hint="eastAsia" w:ascii="黑体" w:hAnsi="黑体" w:eastAsia="黑体" w:cs="黑体"/>
          <w:b/>
          <w:bCs/>
          <w:kern w:val="2"/>
        </w:rPr>
      </w:pPr>
    </w:p>
    <w:p>
      <w:pPr>
        <w:pStyle w:val="19"/>
        <w:spacing w:line="360" w:lineRule="auto"/>
        <w:jc w:val="center"/>
        <w:rPr>
          <w:rFonts w:hint="eastAsia" w:ascii="黑体" w:hAnsi="黑体" w:eastAsia="黑体" w:cs="黑体"/>
          <w:b/>
          <w:bCs/>
          <w:kern w:val="2"/>
        </w:rPr>
      </w:pPr>
    </w:p>
    <w:p>
      <w:pPr>
        <w:pStyle w:val="19"/>
        <w:spacing w:line="360" w:lineRule="auto"/>
        <w:jc w:val="center"/>
        <w:rPr>
          <w:rFonts w:hint="eastAsia" w:ascii="黑体" w:hAnsi="黑体" w:eastAsia="黑体" w:cs="黑体"/>
          <w:b/>
          <w:bCs/>
          <w:kern w:val="2"/>
        </w:rPr>
      </w:pPr>
    </w:p>
    <w:p>
      <w:pPr>
        <w:pStyle w:val="19"/>
        <w:spacing w:line="360" w:lineRule="auto"/>
        <w:jc w:val="center"/>
        <w:rPr>
          <w:rFonts w:hint="eastAsia" w:ascii="黑体" w:hAnsi="黑体" w:eastAsia="黑体" w:cs="黑体"/>
          <w:kern w:val="2"/>
        </w:rPr>
      </w:pPr>
      <w:r>
        <w:rPr>
          <w:rFonts w:hint="eastAsia" w:ascii="黑体" w:hAnsi="黑体" w:eastAsia="黑体" w:cs="黑体"/>
          <w:b/>
          <w:bCs/>
          <w:kern w:val="2"/>
        </w:rPr>
        <w:t>报名回执表</w:t>
      </w:r>
    </w:p>
    <w:p>
      <w:pPr>
        <w:spacing w:line="360" w:lineRule="auto"/>
        <w:ind w:firstLine="422" w:firstLineChars="200"/>
        <w:jc w:val="center"/>
        <w:rPr>
          <w:rFonts w:hint="eastAsia" w:ascii="黑体" w:hAnsi="黑体" w:eastAsia="黑体" w:cs="黑体"/>
          <w:b/>
          <w:szCs w:val="21"/>
        </w:rPr>
      </w:pPr>
    </w:p>
    <w:tbl>
      <w:tblPr>
        <w:tblStyle w:val="8"/>
        <w:tblW w:w="9316" w:type="dxa"/>
        <w:jc w:val="cente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Layout w:type="fixed"/>
        <w:tblCellMar>
          <w:top w:w="0" w:type="dxa"/>
          <w:left w:w="108" w:type="dxa"/>
          <w:bottom w:w="0" w:type="dxa"/>
          <w:right w:w="108" w:type="dxa"/>
        </w:tblCellMar>
      </w:tblPr>
      <w:tblGrid>
        <w:gridCol w:w="1723"/>
        <w:gridCol w:w="603"/>
        <w:gridCol w:w="535"/>
        <w:gridCol w:w="93"/>
        <w:gridCol w:w="1843"/>
        <w:gridCol w:w="1984"/>
        <w:gridCol w:w="891"/>
        <w:gridCol w:w="1644"/>
      </w:tblGrid>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7533" w:type="dxa"/>
            <w:gridSpan w:val="7"/>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通讯地址</w:t>
            </w:r>
          </w:p>
        </w:tc>
        <w:tc>
          <w:tcPr>
            <w:tcW w:w="5018" w:type="dxa"/>
            <w:gridSpan w:val="5"/>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邮编</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联系人</w:t>
            </w:r>
          </w:p>
        </w:tc>
        <w:tc>
          <w:tcPr>
            <w:tcW w:w="1191" w:type="dxa"/>
            <w:gridSpan w:val="3"/>
            <w:noWrap w:val="0"/>
            <w:vAlign w:val="center"/>
          </w:tcPr>
          <w:p>
            <w:pPr>
              <w:widowControl/>
              <w:spacing w:line="360" w:lineRule="auto"/>
              <w:outlineLvl w:val="0"/>
              <w:rPr>
                <w:rFonts w:hint="eastAsia" w:ascii="黑体" w:hAnsi="黑体" w:eastAsia="黑体" w:cs="黑体"/>
                <w:kern w:val="0"/>
                <w:szCs w:val="21"/>
              </w:rPr>
            </w:pPr>
          </w:p>
        </w:tc>
        <w:tc>
          <w:tcPr>
            <w:tcW w:w="180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联系电话</w:t>
            </w:r>
          </w:p>
        </w:tc>
        <w:tc>
          <w:tcPr>
            <w:tcW w:w="1944" w:type="dxa"/>
            <w:noWrap w:val="0"/>
            <w:vAlign w:val="center"/>
          </w:tcPr>
          <w:p>
            <w:pPr>
              <w:widowControl/>
              <w:spacing w:line="360" w:lineRule="auto"/>
              <w:outlineLvl w:val="0"/>
              <w:rPr>
                <w:rFonts w:hint="eastAsia" w:ascii="黑体" w:hAnsi="黑体" w:eastAsia="黑体" w:cs="黑体"/>
                <w:kern w:val="0"/>
                <w:szCs w:val="21"/>
              </w:rPr>
            </w:pPr>
          </w:p>
        </w:tc>
        <w:tc>
          <w:tcPr>
            <w:tcW w:w="851"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传真</w:t>
            </w:r>
          </w:p>
        </w:tc>
        <w:tc>
          <w:tcPr>
            <w:tcW w:w="1584" w:type="dxa"/>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QQ</w:t>
            </w:r>
          </w:p>
        </w:tc>
        <w:tc>
          <w:tcPr>
            <w:tcW w:w="3034" w:type="dxa"/>
            <w:gridSpan w:val="4"/>
            <w:noWrap w:val="0"/>
            <w:vAlign w:val="center"/>
          </w:tcPr>
          <w:p>
            <w:pPr>
              <w:widowControl/>
              <w:spacing w:line="360" w:lineRule="auto"/>
              <w:outlineLvl w:val="0"/>
              <w:rPr>
                <w:rFonts w:hint="eastAsia" w:ascii="黑体" w:hAnsi="黑体" w:eastAsia="黑体" w:cs="黑体"/>
                <w:kern w:val="0"/>
                <w:szCs w:val="21"/>
              </w:rPr>
            </w:pPr>
          </w:p>
        </w:tc>
        <w:tc>
          <w:tcPr>
            <w:tcW w:w="1944" w:type="dxa"/>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邮箱</w:t>
            </w:r>
          </w:p>
        </w:tc>
        <w:tc>
          <w:tcPr>
            <w:tcW w:w="2475" w:type="dxa"/>
            <w:gridSpan w:val="2"/>
            <w:noWrap w:val="0"/>
            <w:vAlign w:val="center"/>
          </w:tcPr>
          <w:p>
            <w:pPr>
              <w:widowControl/>
              <w:spacing w:line="360" w:lineRule="auto"/>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学员姓名</w:t>
            </w: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性别</w:t>
            </w: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职务</w:t>
            </w: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手机</w:t>
            </w: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邮箱</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1663" w:type="dxa"/>
            <w:noWrap w:val="0"/>
            <w:vAlign w:val="center"/>
          </w:tcPr>
          <w:p>
            <w:pPr>
              <w:widowControl/>
              <w:spacing w:line="360" w:lineRule="auto"/>
              <w:jc w:val="center"/>
              <w:outlineLvl w:val="0"/>
              <w:rPr>
                <w:rFonts w:hint="eastAsia" w:ascii="黑体" w:hAnsi="黑体" w:eastAsia="黑体" w:cs="黑体"/>
                <w:kern w:val="0"/>
                <w:szCs w:val="21"/>
              </w:rPr>
            </w:pPr>
          </w:p>
        </w:tc>
        <w:tc>
          <w:tcPr>
            <w:tcW w:w="1098"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896" w:type="dxa"/>
            <w:gridSpan w:val="2"/>
            <w:noWrap w:val="0"/>
            <w:vAlign w:val="center"/>
          </w:tcPr>
          <w:p>
            <w:pPr>
              <w:widowControl/>
              <w:spacing w:line="360" w:lineRule="auto"/>
              <w:jc w:val="center"/>
              <w:outlineLvl w:val="0"/>
              <w:rPr>
                <w:rFonts w:hint="eastAsia" w:ascii="黑体" w:hAnsi="黑体" w:eastAsia="黑体" w:cs="黑体"/>
                <w:kern w:val="0"/>
                <w:szCs w:val="21"/>
              </w:rPr>
            </w:pPr>
          </w:p>
        </w:tc>
        <w:tc>
          <w:tcPr>
            <w:tcW w:w="1944" w:type="dxa"/>
            <w:noWrap w:val="0"/>
            <w:vAlign w:val="center"/>
          </w:tcPr>
          <w:p>
            <w:pPr>
              <w:widowControl/>
              <w:spacing w:line="360" w:lineRule="auto"/>
              <w:jc w:val="center"/>
              <w:outlineLvl w:val="0"/>
              <w:rPr>
                <w:rFonts w:hint="eastAsia" w:ascii="黑体" w:hAnsi="黑体" w:eastAsia="黑体" w:cs="黑体"/>
                <w:kern w:val="0"/>
                <w:szCs w:val="21"/>
              </w:rPr>
            </w:pPr>
          </w:p>
        </w:tc>
        <w:tc>
          <w:tcPr>
            <w:tcW w:w="2475" w:type="dxa"/>
            <w:gridSpan w:val="2"/>
            <w:noWrap w:val="0"/>
            <w:vAlign w:val="center"/>
          </w:tcPr>
          <w:p>
            <w:pPr>
              <w:widowControl/>
              <w:spacing w:line="360" w:lineRule="auto"/>
              <w:jc w:val="center"/>
              <w:outlineLvl w:val="0"/>
              <w:rPr>
                <w:rFonts w:hint="eastAsia" w:ascii="黑体" w:hAnsi="黑体" w:eastAsia="黑体" w:cs="黑体"/>
                <w:kern w:val="0"/>
                <w:szCs w:val="21"/>
              </w:rPr>
            </w:pP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restart"/>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打款账号</w:t>
            </w: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单位名称：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上海蓝草企业管理咨询有限公司</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jc w:val="left"/>
              <w:outlineLvl w:val="0"/>
              <w:rPr>
                <w:rFonts w:hint="eastAsia" w:ascii="黑体" w:hAnsi="黑体" w:eastAsia="黑体" w:cs="黑体"/>
                <w:kern w:val="0"/>
                <w:szCs w:val="21"/>
              </w:rPr>
            </w:pPr>
            <w:r>
              <w:rPr>
                <w:rFonts w:hint="eastAsia" w:ascii="黑体" w:hAnsi="黑体" w:eastAsia="黑体" w:cs="黑体"/>
                <w:kern w:val="0"/>
                <w:szCs w:val="21"/>
              </w:rPr>
              <w:t>银行名称：</w:t>
            </w:r>
          </w:p>
        </w:tc>
        <w:tc>
          <w:tcPr>
            <w:tcW w:w="4459" w:type="dxa"/>
            <w:gridSpan w:val="3"/>
            <w:noWrap w:val="0"/>
            <w:vAlign w:val="center"/>
          </w:tcPr>
          <w:p>
            <w:pPr>
              <w:widowControl/>
              <w:spacing w:line="360" w:lineRule="auto"/>
              <w:jc w:val="center"/>
              <w:outlineLvl w:val="0"/>
              <w:rPr>
                <w:rFonts w:hint="eastAsia" w:ascii="黑体" w:hAnsi="黑体" w:eastAsia="黑体" w:cs="黑体"/>
                <w:kern w:val="0"/>
                <w:szCs w:val="21"/>
              </w:rPr>
            </w:pPr>
            <w:r>
              <w:rPr>
                <w:rFonts w:hint="eastAsia" w:ascii="黑体" w:hAnsi="黑体" w:eastAsia="黑体" w:cs="黑体"/>
                <w:kern w:val="0"/>
                <w:szCs w:val="21"/>
              </w:rPr>
              <w:t>建行上海第四支行</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2266" w:type="dxa"/>
            <w:gridSpan w:val="2"/>
            <w:vMerge w:val="continue"/>
            <w:noWrap w:val="0"/>
            <w:vAlign w:val="center"/>
          </w:tcPr>
          <w:p>
            <w:pPr>
              <w:widowControl/>
              <w:spacing w:line="360" w:lineRule="auto"/>
              <w:jc w:val="center"/>
              <w:outlineLvl w:val="0"/>
              <w:rPr>
                <w:rFonts w:hint="eastAsia" w:ascii="黑体" w:hAnsi="黑体" w:eastAsia="黑体" w:cs="黑体"/>
                <w:kern w:val="0"/>
                <w:szCs w:val="21"/>
              </w:rPr>
            </w:pPr>
          </w:p>
        </w:tc>
        <w:tc>
          <w:tcPr>
            <w:tcW w:w="2431" w:type="dxa"/>
            <w:gridSpan w:val="3"/>
            <w:noWrap w:val="0"/>
            <w:vAlign w:val="center"/>
          </w:tcPr>
          <w:p>
            <w:pPr>
              <w:widowControl/>
              <w:spacing w:line="360" w:lineRule="auto"/>
              <w:outlineLvl w:val="0"/>
              <w:rPr>
                <w:rFonts w:hint="eastAsia" w:ascii="黑体" w:hAnsi="黑体" w:eastAsia="黑体" w:cs="黑体"/>
                <w:kern w:val="0"/>
                <w:szCs w:val="21"/>
              </w:rPr>
            </w:pPr>
            <w:r>
              <w:rPr>
                <w:rFonts w:hint="eastAsia" w:ascii="黑体" w:hAnsi="黑体" w:eastAsia="黑体" w:cs="黑体"/>
                <w:kern w:val="0"/>
                <w:szCs w:val="21"/>
              </w:rPr>
              <w:t>开户银行、帐号：</w:t>
            </w:r>
          </w:p>
        </w:tc>
        <w:tc>
          <w:tcPr>
            <w:tcW w:w="4459" w:type="dxa"/>
            <w:gridSpan w:val="3"/>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黑体" w:eastAsia="黑体" w:cs="黑体"/>
                <w:color w:val="000000"/>
                <w:kern w:val="0"/>
                <w:szCs w:val="21"/>
              </w:rPr>
              <w:t>31001503800056001693</w:t>
            </w:r>
          </w:p>
        </w:tc>
      </w:tr>
      <w:tr>
        <w:tblPrEx>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Ex>
        <w:trPr>
          <w:trHeight w:val="397" w:hRule="atLeast"/>
          <w:tblCellSpacing w:w="20" w:type="dxa"/>
          <w:jc w:val="center"/>
        </w:trPr>
        <w:tc>
          <w:tcPr>
            <w:tcW w:w="9236" w:type="dxa"/>
            <w:gridSpan w:val="8"/>
            <w:noWrap w:val="0"/>
            <w:vAlign w:val="center"/>
          </w:tcPr>
          <w:p>
            <w:pPr>
              <w:widowControl/>
              <w:spacing w:line="360" w:lineRule="auto"/>
              <w:jc w:val="center"/>
              <w:outlineLvl w:val="0"/>
              <w:rPr>
                <w:rFonts w:hint="eastAsia" w:ascii="黑体" w:hAnsi="黑体" w:eastAsia="黑体" w:cs="黑体"/>
                <w:color w:val="000000"/>
                <w:kern w:val="0"/>
                <w:szCs w:val="21"/>
              </w:rPr>
            </w:pPr>
            <w:r>
              <w:rPr>
                <w:rFonts w:hint="eastAsia" w:ascii="黑体" w:hAnsi="宋体" w:eastAsia="黑体"/>
                <w:sz w:val="22"/>
                <w:szCs w:val="22"/>
              </w:rPr>
              <w:t xml:space="preserve"> ☑ 提前转帐付款</w:t>
            </w:r>
          </w:p>
        </w:tc>
      </w:tr>
    </w:tbl>
    <w:p>
      <w:pPr>
        <w:spacing w:line="360" w:lineRule="auto"/>
        <w:ind w:firstLine="4830" w:firstLineChars="2300"/>
        <w:rPr>
          <w:rFonts w:ascii="Times New Roman" w:hAnsi="Times New Roman" w:eastAsia="黑体"/>
          <w:bCs/>
          <w:color w:val="000000"/>
          <w:kern w:val="2"/>
        </w:rPr>
      </w:pPr>
      <w:r>
        <w:rPr>
          <w:rFonts w:hint="eastAsia" w:ascii="黑体" w:hAnsi="黑体" w:eastAsia="黑体" w:cs="黑体"/>
          <w:szCs w:val="21"/>
        </w:rPr>
        <w:t xml:space="preserve">               （此表复印有效）</w:t>
      </w:r>
    </w:p>
    <w:p>
      <w:pPr>
        <w:pStyle w:val="7"/>
        <w:spacing w:before="56" w:beforeLines="18" w:beforeAutospacing="0" w:after="0" w:afterAutospacing="0" w:line="260" w:lineRule="exact"/>
        <w:rPr>
          <w:rFonts w:ascii="Times New Roman" w:hAnsi="Times New Roman" w:eastAsia="黑体"/>
          <w:bCs/>
          <w:color w:val="000000"/>
          <w:kern w:val="2"/>
        </w:rPr>
      </w:pPr>
      <w:r>
        <w:rPr>
          <w:rFonts w:ascii="Times New Roman" w:hAnsi="Times New Roman" w:eastAsia="黑体"/>
          <w:bCs/>
          <w:color w:val="000000"/>
          <w:kern w:val="2"/>
        </w:rPr>
        <w:t>备   注：</w:t>
      </w:r>
    </w:p>
    <w:p>
      <w:pPr>
        <w:pStyle w:val="7"/>
        <w:numPr>
          <w:ilvl w:val="0"/>
          <w:numId w:val="2"/>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收到您的报名表后，我们将尽快与您联络，如您一个工作日内未接到我们的任何通知，请及时电话与我们联系确认，谢谢！</w:t>
      </w:r>
    </w:p>
    <w:p>
      <w:pPr>
        <w:pStyle w:val="7"/>
        <w:numPr>
          <w:ilvl w:val="0"/>
          <w:numId w:val="2"/>
        </w:numPr>
        <w:tabs>
          <w:tab w:val="left" w:pos="360"/>
        </w:tabs>
        <w:spacing w:before="56" w:beforeLines="18" w:beforeAutospacing="0" w:after="0" w:afterAutospacing="0" w:line="260" w:lineRule="exact"/>
        <w:ind w:left="360" w:hanging="360"/>
        <w:rPr>
          <w:rFonts w:ascii="黑体" w:hAnsi="_x000B__x000C_" w:eastAsia="黑体"/>
          <w:sz w:val="22"/>
        </w:rPr>
      </w:pPr>
      <w:r>
        <w:rPr>
          <w:rFonts w:ascii="黑体" w:hAnsi="_x000B__x000C_" w:eastAsia="黑体"/>
          <w:sz w:val="22"/>
        </w:rPr>
        <w:t>已报名的企业/个人如有其他原因不能如期参加，请</w:t>
      </w:r>
      <w:r>
        <w:rPr>
          <w:rFonts w:hint="eastAsia" w:ascii="黑体" w:hAnsi="_x000B__x000C_" w:eastAsia="黑体"/>
          <w:sz w:val="22"/>
        </w:rPr>
        <w:t>开课前一周</w:t>
      </w:r>
      <w:r>
        <w:rPr>
          <w:rFonts w:ascii="黑体" w:hAnsi="_x000B__x000C_" w:eastAsia="黑体"/>
          <w:sz w:val="22"/>
        </w:rPr>
        <w:t>通知本公司，如有已转入的款项我公司可根据报名者意愿将费用转为其他课程费用</w:t>
      </w:r>
      <w:r>
        <w:rPr>
          <w:rFonts w:hint="eastAsia" w:ascii="黑体" w:hAnsi="_x000B__x000C_" w:eastAsia="黑体"/>
          <w:sz w:val="22"/>
        </w:rPr>
        <w:t>。已经收取课酬费用不再退还</w:t>
      </w:r>
      <w:r>
        <w:rPr>
          <w:rFonts w:ascii="黑体" w:hAnsi="_x000B__x000C_" w:eastAsia="黑体"/>
          <w:sz w:val="22"/>
        </w:rPr>
        <w:t>。</w:t>
      </w:r>
    </w:p>
    <w:p>
      <w:pPr>
        <w:rPr>
          <w:rFonts w:ascii="微软雅黑" w:hAnsi="微软雅黑" w:eastAsia="微软雅黑" w:cs="Times New Roman"/>
          <w:sz w:val="24"/>
          <w:szCs w:val="24"/>
        </w:rPr>
      </w:pPr>
      <w:r>
        <w:rPr>
          <w:rFonts w:hint="eastAsia" w:ascii="微软雅黑" w:hAnsi="微软雅黑" w:eastAsia="微软雅黑" w:cs="微软雅黑"/>
          <w:sz w:val="24"/>
          <w:szCs w:val="24"/>
        </w:rPr>
        <w:t>（需要预定住宿的请参考我司课程《确认函》中的住宿酒店信息）</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注意：</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请将报名表填写完整，发至我方即可。我方收到报名表后，将以电话、传真或</w:t>
      </w:r>
      <w:r>
        <w:rPr>
          <w:rFonts w:ascii="微软雅黑" w:hAnsi="微软雅黑" w:eastAsia="微软雅黑" w:cs="微软雅黑"/>
          <w:sz w:val="22"/>
          <w:szCs w:val="24"/>
        </w:rPr>
        <w:t>E-mail</w:t>
      </w:r>
      <w:r>
        <w:rPr>
          <w:rFonts w:hint="eastAsia" w:ascii="微软雅黑" w:hAnsi="微软雅黑" w:eastAsia="微软雅黑" w:cs="微软雅黑"/>
          <w:sz w:val="22"/>
          <w:szCs w:val="24"/>
        </w:rPr>
        <w:t>等方式确认收到报名表。</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请在培训之前三个工作日内将报名表回传</w:t>
      </w:r>
      <w:r>
        <w:rPr>
          <w:rFonts w:ascii="微软雅黑" w:hAnsi="微软雅黑" w:eastAsia="微软雅黑" w:cs="微软雅黑"/>
          <w:sz w:val="22"/>
          <w:szCs w:val="24"/>
        </w:rPr>
        <w:t>,</w:t>
      </w:r>
      <w:r>
        <w:rPr>
          <w:rFonts w:hint="eastAsia" w:ascii="微软雅黑" w:hAnsi="微软雅黑" w:eastAsia="微软雅黑" w:cs="微软雅黑"/>
          <w:sz w:val="22"/>
          <w:szCs w:val="24"/>
        </w:rPr>
        <w:t>课前一周另行发送详细会务安排</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本课程可针对企业需求，上门服务，组织内训，欢迎咨询。</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请参会学员准备一盒名片</w:t>
      </w:r>
      <w:r>
        <w:rPr>
          <w:rFonts w:ascii="微软雅黑" w:hAnsi="微软雅黑" w:eastAsia="微软雅黑" w:cs="微软雅黑"/>
          <w:sz w:val="22"/>
          <w:szCs w:val="24"/>
        </w:rPr>
        <w:t>,</w:t>
      </w:r>
      <w:r>
        <w:rPr>
          <w:rFonts w:hint="eastAsia" w:ascii="微软雅黑" w:hAnsi="微软雅黑" w:eastAsia="微软雅黑" w:cs="微软雅黑"/>
          <w:sz w:val="22"/>
          <w:szCs w:val="24"/>
        </w:rPr>
        <w:t>以便学员间交流学习。</w:t>
      </w:r>
    </w:p>
    <w:p>
      <w:pPr>
        <w:rPr>
          <w:rFonts w:ascii="微软雅黑" w:hAnsi="微软雅黑" w:eastAsia="微软雅黑" w:cs="Times New Roman"/>
          <w:sz w:val="22"/>
          <w:szCs w:val="24"/>
        </w:rPr>
      </w:pPr>
      <w:r>
        <w:rPr>
          <w:rFonts w:hint="eastAsia" w:ascii="微软雅黑" w:hAnsi="微软雅黑" w:eastAsia="微软雅黑" w:cs="微软雅黑"/>
          <w:sz w:val="22"/>
          <w:szCs w:val="24"/>
        </w:rPr>
        <w:t>→</w:t>
      </w:r>
      <w:r>
        <w:rPr>
          <w:rFonts w:ascii="微软雅黑" w:hAnsi="微软雅黑" w:eastAsia="微软雅黑" w:cs="微软雅黑"/>
          <w:sz w:val="22"/>
          <w:szCs w:val="24"/>
        </w:rPr>
        <w:t xml:space="preserve"> </w:t>
      </w:r>
      <w:r>
        <w:rPr>
          <w:rFonts w:hint="eastAsia" w:ascii="微软雅黑" w:hAnsi="微软雅黑" w:eastAsia="微软雅黑" w:cs="微软雅黑"/>
          <w:sz w:val="22"/>
          <w:szCs w:val="24"/>
        </w:rPr>
        <w:t>请准备几个工作中遇到的问题以便进行讨论。</w:t>
      </w:r>
    </w:p>
    <w:p>
      <w:pPr>
        <w:rPr>
          <w:rFonts w:ascii="微软雅黑" w:hAnsi="微软雅黑" w:eastAsia="微软雅黑" w:cs="Times New Roman"/>
          <w:sz w:val="22"/>
          <w:szCs w:val="24"/>
        </w:rPr>
      </w:pPr>
      <w:r>
        <w:rPr>
          <w:rFonts w:hint="eastAsia" w:ascii="微软雅黑" w:hAnsi="微软雅黑" w:eastAsia="微软雅黑" w:cs="微软雅黑"/>
          <w:sz w:val="22"/>
          <w:szCs w:val="24"/>
          <w:lang w:val="zh-CN"/>
        </w:rPr>
        <w:t>此表所填信息仅用于招生工作，对所填写的客户信息，我司严格保密，如需参加请填写回传给我们</w:t>
      </w:r>
      <w:r>
        <w:rPr>
          <w:rFonts w:hint="eastAsia" w:ascii="微软雅黑" w:hAnsi="微软雅黑" w:eastAsia="微软雅黑" w:cs="微软雅黑"/>
          <w:sz w:val="22"/>
          <w:szCs w:val="24"/>
        </w:rPr>
        <w:t>，以便及时为您安排会务并发确认函，谢谢支持！</w:t>
      </w:r>
    </w:p>
    <w:p>
      <w:pPr>
        <w:rPr>
          <w:rFonts w:ascii="微软雅黑" w:hAnsi="微软雅黑" w:eastAsia="微软雅黑" w:cs="Times New Roman"/>
          <w:sz w:val="24"/>
          <w:szCs w:val="24"/>
        </w:rPr>
      </w:pPr>
    </w:p>
    <w:p>
      <w:pPr>
        <w:rPr>
          <w:rFonts w:ascii="微软雅黑" w:hAnsi="微软雅黑" w:eastAsia="微软雅黑" w:cs="Times New Roman"/>
          <w:sz w:val="24"/>
          <w:szCs w:val="24"/>
        </w:rPr>
      </w:pPr>
    </w:p>
    <w:p>
      <w:pPr>
        <w:rPr>
          <w:rFonts w:ascii="微软雅黑" w:hAnsi="微软雅黑" w:eastAsia="微软雅黑" w:cs="Times New Roman"/>
          <w:sz w:val="24"/>
          <w:szCs w:val="24"/>
        </w:rPr>
      </w:pPr>
    </w:p>
    <w:p>
      <w:pPr>
        <w:rPr>
          <w:rFonts w:ascii="微软雅黑" w:hAnsi="微软雅黑" w:eastAsia="微软雅黑" w:cs="Times New Roman"/>
          <w:sz w:val="24"/>
          <w:szCs w:val="24"/>
        </w:rPr>
      </w:pPr>
    </w:p>
    <w:p>
      <w:pPr>
        <w:rPr>
          <w:rFonts w:ascii="微软雅黑" w:hAnsi="微软雅黑" w:eastAsia="微软雅黑" w:cs="Times New Roman"/>
          <w:sz w:val="24"/>
          <w:szCs w:val="24"/>
        </w:rPr>
      </w:pPr>
    </w:p>
    <w:p>
      <w:pPr>
        <w:rPr>
          <w:rFonts w:ascii="微软雅黑" w:hAnsi="微软雅黑" w:eastAsia="微软雅黑" w:cs="Times New Roman"/>
          <w:sz w:val="24"/>
          <w:szCs w:val="24"/>
        </w:rPr>
      </w:pPr>
    </w:p>
    <w:p>
      <w:pPr>
        <w:rPr>
          <w:rFonts w:ascii="微软雅黑" w:hAnsi="微软雅黑" w:eastAsia="微软雅黑" w:cs="Times New Roman"/>
          <w:sz w:val="24"/>
          <w:szCs w:val="24"/>
        </w:rPr>
      </w:pPr>
    </w:p>
    <w:p>
      <w:pPr>
        <w:rPr>
          <w:rFonts w:ascii="微软雅黑" w:hAnsi="微软雅黑" w:eastAsia="微软雅黑" w:cs="Times New Roman"/>
          <w:sz w:val="24"/>
          <w:szCs w:val="24"/>
        </w:rPr>
      </w:pPr>
    </w:p>
    <w:p>
      <w:pPr>
        <w:rPr>
          <w:rFonts w:ascii="微软雅黑" w:hAnsi="微软雅黑" w:eastAsia="微软雅黑" w:cs="Times New Roman"/>
          <w:sz w:val="24"/>
          <w:szCs w:val="24"/>
        </w:rPr>
      </w:pPr>
    </w:p>
    <w:p>
      <w:pPr>
        <w:rPr>
          <w:rFonts w:ascii="微软雅黑" w:hAnsi="微软雅黑" w:eastAsia="微软雅黑" w:cs="Times New Roman"/>
          <w:sz w:val="24"/>
          <w:szCs w:val="24"/>
        </w:rPr>
      </w:pPr>
    </w:p>
    <w:p>
      <w:pPr>
        <w:rPr>
          <w:rFonts w:ascii="微软雅黑" w:hAnsi="微软雅黑" w:eastAsia="微软雅黑" w:cs="Times New Roman"/>
          <w:sz w:val="24"/>
          <w:szCs w:val="24"/>
        </w:rPr>
      </w:pPr>
    </w:p>
    <w:p>
      <w:pPr>
        <w:rPr>
          <w:rFonts w:ascii="微软雅黑" w:hAnsi="微软雅黑" w:eastAsia="微软雅黑" w:cs="Times New Roman"/>
          <w:sz w:val="24"/>
          <w:szCs w:val="24"/>
        </w:rPr>
      </w:pPr>
    </w:p>
    <w:p>
      <w:pPr>
        <w:rPr>
          <w:rFonts w:ascii="微软雅黑" w:hAnsi="微软雅黑" w:eastAsia="微软雅黑" w:cs="Times New Roman"/>
          <w:sz w:val="24"/>
          <w:szCs w:val="24"/>
        </w:rPr>
      </w:pPr>
    </w:p>
    <w:p>
      <w:pPr>
        <w:rPr>
          <w:rFonts w:ascii="微软雅黑" w:hAnsi="微软雅黑" w:eastAsia="微软雅黑" w:cs="Times New Roman"/>
          <w:sz w:val="24"/>
          <w:szCs w:val="24"/>
        </w:rPr>
      </w:pPr>
    </w:p>
    <w:p>
      <w:pPr>
        <w:rPr>
          <w:rFonts w:ascii="微软雅黑" w:hAnsi="微软雅黑" w:eastAsia="微软雅黑" w:cs="Times New Roman"/>
          <w:sz w:val="24"/>
          <w:szCs w:val="24"/>
        </w:rPr>
      </w:pPr>
    </w:p>
    <w:p>
      <w:pPr>
        <w:rPr>
          <w:rFonts w:ascii="微软雅黑" w:hAnsi="微软雅黑" w:eastAsia="微软雅黑" w:cs="Times New Roman"/>
          <w:sz w:val="24"/>
          <w:szCs w:val="24"/>
        </w:rPr>
      </w:pPr>
    </w:p>
    <w:p>
      <w:pPr>
        <w:rPr>
          <w:rFonts w:cs="Times New Roman"/>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DengXian">
    <w:altName w:val="宋体"/>
    <w:panose1 w:val="00000000000000000000"/>
    <w:charset w:val="86"/>
    <w:family w:val="auto"/>
    <w:pitch w:val="default"/>
    <w:sig w:usb0="00000000" w:usb1="00000000" w:usb2="00000010" w:usb3="00000000" w:csb0="00040000" w:csb1="00000000"/>
  </w:font>
  <w:font w:name="Microsoft YaHei U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_x000B__x000C_">
    <w:altName w:val="Times New Roman"/>
    <w:panose1 w:val="00000000000000000000"/>
    <w:charset w:val="00"/>
    <w:family w:val="roman"/>
    <w:pitch w:val="default"/>
    <w:sig w:usb0="00000000" w:usb1="00000000" w:usb2="00000000" w:usb3="00000000" w:csb0="00040001" w:csb1="00000000"/>
  </w:font>
  <w:font w:name="Brush Script MT">
    <w:altName w:val="Mongolian Baiti"/>
    <w:panose1 w:val="03060802040406070304"/>
    <w:charset w:val="00"/>
    <w:family w:val="auto"/>
    <w:pitch w:val="default"/>
    <w:sig w:usb0="00000000" w:usb1="00000000" w:usb2="00000000" w:usb3="00000000" w:csb0="20000001" w:csb1="00000000"/>
  </w:font>
  <w:font w:name="Mongolian Baiti">
    <w:panose1 w:val="03000500000000000000"/>
    <w:charset w:val="00"/>
    <w:family w:val="auto"/>
    <w:pitch w:val="default"/>
    <w:sig w:usb0="80000023" w:usb1="00000000" w:usb2="00020000" w:usb3="00000000" w:csb0="00000001" w:csb1="00000000"/>
  </w:font>
  <w:font w:name="华文行楷">
    <w:altName w:val="微软雅黑"/>
    <w:panose1 w:val="02010800040101010101"/>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cs="Times New Roman"/>
        <w:color w:val="00B0F0"/>
      </w:rPr>
    </w:pPr>
    <w:r>
      <w:pict>
        <v:rect id="文本框 4" o:spid="_x0000_s4099" o:spt="1" style="position:absolute;left:0pt;margin-left:177.95pt;margin-top:4.15pt;height:31.2pt;width:276.1pt;z-index:251661312;mso-width-relative:page;mso-height-relative:page;" o:preferrelative="t" stroked="f" coordsize="21600,21600">
          <v:path/>
          <v:fill focussize="0,0"/>
          <v:stroke on="f"/>
          <v:imagedata o:title=""/>
          <o:lock v:ext="edit"/>
          <v:textbox>
            <w:txbxContent>
              <w:p>
                <w:pPr>
                  <w:rPr>
                    <w:rFonts w:cs="Times New Roman"/>
                  </w:rPr>
                </w:pPr>
              </w:p>
            </w:txbxContent>
          </v:textbox>
        </v:rect>
      </w:pict>
    </w:r>
    <w:r>
      <w:pict>
        <v:line id="直线连接符 3" o:spid="_x0000_s4100" o:spt="20" style="position:absolute;left:0pt;margin-left:-85.95pt;margin-top:-3.5pt;height:0.55pt;width:585pt;z-index:251660288;mso-width-relative:page;mso-height-relative:page;" o:preferrelative="t" stroked="t" coordsize="21600,21600">
          <v:path arrowok="t"/>
          <v:fill focussize="0,0"/>
          <v:stroke weight="1.75pt" color="#4A7DBA" miterlimit="2" dashstyle="longDashDot"/>
          <v:imagedata o:title=""/>
          <o:lock v:ext="edit"/>
        </v:line>
      </w:pict>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eastAsia="微软雅黑"/>
        <w:color w:val="0000FF"/>
        <w:sz w:val="24"/>
        <w:szCs w:val="24"/>
      </w:rPr>
    </w:pPr>
    <w:r>
      <w:pict>
        <v:line id="直线连接符 2" o:spid="_x0000_s4098" o:spt="20" style="position:absolute;left:0pt;margin-left:-85.95pt;margin-top:17.65pt;height:0.05pt;width:585pt;z-index:251659264;mso-width-relative:page;mso-height-relative:page;" o:preferrelative="t" stroked="t" coordsize="21600,21600">
          <v:path arrowok="t"/>
          <v:fill focussize="0,0"/>
          <v:stroke weight="1.25pt" color="#17365D" miterlimit="2" dashstyle="1 1"/>
          <v:imagedata o:title=""/>
          <o:lock v:ext="edit"/>
        </v:line>
      </w:pict>
    </w:r>
    <w:r>
      <w:rPr>
        <w:rFonts w:eastAsia="微软雅黑"/>
        <w:color w:val="0000FF"/>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76333D"/>
    <w:multiLevelType w:val="multilevel"/>
    <w:tmpl w:val="4076333D"/>
    <w:lvl w:ilvl="0" w:tentative="0">
      <w:start w:val="1"/>
      <w:numFmt w:val="decimal"/>
      <w:lvlText w:val="%1．"/>
      <w:lvlJc w:val="left"/>
      <w:pPr>
        <w:tabs>
          <w:tab w:val="left" w:pos="1409"/>
        </w:tabs>
        <w:ind w:left="1409" w:hanging="870"/>
      </w:pPr>
      <w:rPr>
        <w:rFonts w:hint="eastAsia"/>
      </w:rPr>
    </w:lvl>
    <w:lvl w:ilvl="1" w:tentative="0">
      <w:start w:val="1"/>
      <w:numFmt w:val="lowerLetter"/>
      <w:lvlText w:val="%2)"/>
      <w:lvlJc w:val="left"/>
      <w:pPr>
        <w:tabs>
          <w:tab w:val="left" w:pos="1379"/>
        </w:tabs>
        <w:ind w:left="1379" w:hanging="420"/>
      </w:pPr>
    </w:lvl>
    <w:lvl w:ilvl="2" w:tentative="0">
      <w:start w:val="1"/>
      <w:numFmt w:val="lowerRoman"/>
      <w:lvlText w:val="%3."/>
      <w:lvlJc w:val="right"/>
      <w:pPr>
        <w:tabs>
          <w:tab w:val="left" w:pos="1799"/>
        </w:tabs>
        <w:ind w:left="1799" w:hanging="420"/>
      </w:pPr>
    </w:lvl>
    <w:lvl w:ilvl="3" w:tentative="0">
      <w:start w:val="1"/>
      <w:numFmt w:val="decimal"/>
      <w:lvlText w:val="%4."/>
      <w:lvlJc w:val="left"/>
      <w:pPr>
        <w:tabs>
          <w:tab w:val="left" w:pos="2219"/>
        </w:tabs>
        <w:ind w:left="2219" w:hanging="420"/>
      </w:pPr>
    </w:lvl>
    <w:lvl w:ilvl="4" w:tentative="0">
      <w:start w:val="1"/>
      <w:numFmt w:val="lowerLetter"/>
      <w:lvlText w:val="%5)"/>
      <w:lvlJc w:val="left"/>
      <w:pPr>
        <w:tabs>
          <w:tab w:val="left" w:pos="2639"/>
        </w:tabs>
        <w:ind w:left="2639" w:hanging="420"/>
      </w:pPr>
    </w:lvl>
    <w:lvl w:ilvl="5" w:tentative="0">
      <w:start w:val="1"/>
      <w:numFmt w:val="lowerRoman"/>
      <w:lvlText w:val="%6."/>
      <w:lvlJc w:val="right"/>
      <w:pPr>
        <w:tabs>
          <w:tab w:val="left" w:pos="3059"/>
        </w:tabs>
        <w:ind w:left="3059" w:hanging="420"/>
      </w:pPr>
    </w:lvl>
    <w:lvl w:ilvl="6" w:tentative="0">
      <w:start w:val="1"/>
      <w:numFmt w:val="decimal"/>
      <w:lvlText w:val="%7."/>
      <w:lvlJc w:val="left"/>
      <w:pPr>
        <w:tabs>
          <w:tab w:val="left" w:pos="3479"/>
        </w:tabs>
        <w:ind w:left="3479" w:hanging="420"/>
      </w:pPr>
    </w:lvl>
    <w:lvl w:ilvl="7" w:tentative="0">
      <w:start w:val="1"/>
      <w:numFmt w:val="lowerLetter"/>
      <w:lvlText w:val="%8)"/>
      <w:lvlJc w:val="left"/>
      <w:pPr>
        <w:tabs>
          <w:tab w:val="left" w:pos="3899"/>
        </w:tabs>
        <w:ind w:left="3899" w:hanging="420"/>
      </w:pPr>
    </w:lvl>
    <w:lvl w:ilvl="8" w:tentative="0">
      <w:start w:val="1"/>
      <w:numFmt w:val="lowerRoman"/>
      <w:lvlText w:val="%9."/>
      <w:lvlJc w:val="right"/>
      <w:pPr>
        <w:tabs>
          <w:tab w:val="left" w:pos="4319"/>
        </w:tabs>
        <w:ind w:left="4319" w:hanging="420"/>
      </w:pPr>
    </w:lvl>
  </w:abstractNum>
  <w:abstractNum w:abstractNumId="1">
    <w:nsid w:val="5B234F82"/>
    <w:multiLevelType w:val="singleLevel"/>
    <w:tmpl w:val="5B234F82"/>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8A4"/>
    <w:rsid w:val="00006B03"/>
    <w:rsid w:val="00086047"/>
    <w:rsid w:val="000C0857"/>
    <w:rsid w:val="000C6BF5"/>
    <w:rsid w:val="002A7842"/>
    <w:rsid w:val="002D0AE5"/>
    <w:rsid w:val="002F7B2D"/>
    <w:rsid w:val="003018A4"/>
    <w:rsid w:val="00331F87"/>
    <w:rsid w:val="00343FEE"/>
    <w:rsid w:val="0042048F"/>
    <w:rsid w:val="004279C2"/>
    <w:rsid w:val="00444909"/>
    <w:rsid w:val="004759B6"/>
    <w:rsid w:val="004B3B51"/>
    <w:rsid w:val="00577A72"/>
    <w:rsid w:val="00585547"/>
    <w:rsid w:val="005B4BAE"/>
    <w:rsid w:val="006339D7"/>
    <w:rsid w:val="007278B0"/>
    <w:rsid w:val="00773BE2"/>
    <w:rsid w:val="008E00CF"/>
    <w:rsid w:val="0091450E"/>
    <w:rsid w:val="00944593"/>
    <w:rsid w:val="009B74C9"/>
    <w:rsid w:val="009F1362"/>
    <w:rsid w:val="00AB3A77"/>
    <w:rsid w:val="00B05CFB"/>
    <w:rsid w:val="00B944D8"/>
    <w:rsid w:val="00C473A3"/>
    <w:rsid w:val="00C51467"/>
    <w:rsid w:val="00CD04FE"/>
    <w:rsid w:val="00D46862"/>
    <w:rsid w:val="00D47868"/>
    <w:rsid w:val="00DA7308"/>
    <w:rsid w:val="00FA3F21"/>
    <w:rsid w:val="01356248"/>
    <w:rsid w:val="049C6DF2"/>
    <w:rsid w:val="09497C15"/>
    <w:rsid w:val="09F77A06"/>
    <w:rsid w:val="0A851B85"/>
    <w:rsid w:val="0CBF6F06"/>
    <w:rsid w:val="0D29619B"/>
    <w:rsid w:val="120C5579"/>
    <w:rsid w:val="14F52C3F"/>
    <w:rsid w:val="15D7768A"/>
    <w:rsid w:val="18AA49CE"/>
    <w:rsid w:val="1BAA01E1"/>
    <w:rsid w:val="1D0720B1"/>
    <w:rsid w:val="1E0846AD"/>
    <w:rsid w:val="1E9513D1"/>
    <w:rsid w:val="24FE1C1A"/>
    <w:rsid w:val="2AA47075"/>
    <w:rsid w:val="2C9950AB"/>
    <w:rsid w:val="2CF75031"/>
    <w:rsid w:val="2F20473C"/>
    <w:rsid w:val="32E57780"/>
    <w:rsid w:val="34C46E25"/>
    <w:rsid w:val="353831FD"/>
    <w:rsid w:val="359F2EF3"/>
    <w:rsid w:val="3874532C"/>
    <w:rsid w:val="3CF0645A"/>
    <w:rsid w:val="3EC641CB"/>
    <w:rsid w:val="41FA4F75"/>
    <w:rsid w:val="4289324C"/>
    <w:rsid w:val="44872038"/>
    <w:rsid w:val="469479AF"/>
    <w:rsid w:val="47036410"/>
    <w:rsid w:val="4ABE0178"/>
    <w:rsid w:val="4B9A0D61"/>
    <w:rsid w:val="4CB64A56"/>
    <w:rsid w:val="506949C4"/>
    <w:rsid w:val="50E94570"/>
    <w:rsid w:val="526117B6"/>
    <w:rsid w:val="528637C2"/>
    <w:rsid w:val="52AB6E4B"/>
    <w:rsid w:val="53EA311D"/>
    <w:rsid w:val="580927F4"/>
    <w:rsid w:val="59E77CDE"/>
    <w:rsid w:val="5F2252C8"/>
    <w:rsid w:val="5F2716EC"/>
    <w:rsid w:val="5F9B55E4"/>
    <w:rsid w:val="60E0003C"/>
    <w:rsid w:val="623364D7"/>
    <w:rsid w:val="63352E4C"/>
    <w:rsid w:val="64CB7612"/>
    <w:rsid w:val="656F550D"/>
    <w:rsid w:val="690735C0"/>
    <w:rsid w:val="6AA221E0"/>
    <w:rsid w:val="6FA974C0"/>
    <w:rsid w:val="713E5EB9"/>
    <w:rsid w:val="721B140B"/>
    <w:rsid w:val="749B5A6C"/>
    <w:rsid w:val="752E1EDE"/>
    <w:rsid w:val="7BD27EC4"/>
    <w:rsid w:val="7C6A769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3">
    <w:name w:val="heading 1"/>
    <w:basedOn w:val="1"/>
    <w:next w:val="1"/>
    <w:link w:val="12"/>
    <w:qFormat/>
    <w:uiPriority w:val="99"/>
    <w:pPr>
      <w:keepNext/>
      <w:keepLines/>
      <w:spacing w:before="340" w:after="330" w:line="578" w:lineRule="auto"/>
      <w:outlineLvl w:val="0"/>
    </w:pPr>
    <w:rPr>
      <w:b/>
      <w:bCs/>
      <w:kern w:val="44"/>
      <w:sz w:val="44"/>
      <w:szCs w:val="44"/>
    </w:rPr>
  </w:style>
  <w:style w:type="paragraph" w:styleId="4">
    <w:name w:val="heading 3"/>
    <w:basedOn w:val="1"/>
    <w:next w:val="1"/>
    <w:link w:val="13"/>
    <w:qFormat/>
    <w:uiPriority w:val="99"/>
    <w:pPr>
      <w:keepNext/>
      <w:keepLines/>
      <w:spacing w:before="260" w:after="260" w:line="413" w:lineRule="auto"/>
      <w:outlineLvl w:val="2"/>
    </w:pPr>
    <w:rPr>
      <w:b/>
      <w:bCs/>
      <w:sz w:val="32"/>
      <w:szCs w:val="32"/>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样式1"/>
    <w:basedOn w:val="3"/>
    <w:qFormat/>
    <w:uiPriority w:val="0"/>
    <w:pPr>
      <w:spacing w:line="360" w:lineRule="auto"/>
      <w:jc w:val="center"/>
    </w:pPr>
    <w:rPr>
      <w:rFonts w:ascii="微软雅黑" w:hAnsi="微软雅黑" w:eastAsia="微软雅黑"/>
      <w:sz w:val="32"/>
      <w:szCs w:val="32"/>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cs="Times New Roman"/>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character" w:styleId="10">
    <w:name w:val="FollowedHyperlink"/>
    <w:basedOn w:val="9"/>
    <w:qFormat/>
    <w:uiPriority w:val="99"/>
    <w:rPr>
      <w:color w:val="800080"/>
      <w:u w:val="single"/>
    </w:rPr>
  </w:style>
  <w:style w:type="character" w:styleId="11">
    <w:name w:val="Hyperlink"/>
    <w:basedOn w:val="9"/>
    <w:qFormat/>
    <w:uiPriority w:val="99"/>
    <w:rPr>
      <w:color w:val="0000FF"/>
      <w:u w:val="single"/>
    </w:rPr>
  </w:style>
  <w:style w:type="character" w:customStyle="1" w:styleId="12">
    <w:name w:val="Heading 1 Char"/>
    <w:basedOn w:val="9"/>
    <w:link w:val="3"/>
    <w:qFormat/>
    <w:locked/>
    <w:uiPriority w:val="99"/>
    <w:rPr>
      <w:rFonts w:ascii="Calibri" w:hAnsi="Calibri" w:cs="Calibri"/>
      <w:b/>
      <w:bCs/>
      <w:kern w:val="44"/>
      <w:sz w:val="44"/>
      <w:szCs w:val="44"/>
    </w:rPr>
  </w:style>
  <w:style w:type="character" w:customStyle="1" w:styleId="13">
    <w:name w:val="Heading 3 Char"/>
    <w:basedOn w:val="9"/>
    <w:link w:val="4"/>
    <w:semiHidden/>
    <w:qFormat/>
    <w:uiPriority w:val="9"/>
    <w:rPr>
      <w:rFonts w:ascii="Calibri" w:hAnsi="Calibri" w:cs="Calibri"/>
      <w:b/>
      <w:bCs/>
      <w:sz w:val="32"/>
      <w:szCs w:val="32"/>
    </w:rPr>
  </w:style>
  <w:style w:type="character" w:customStyle="1" w:styleId="14">
    <w:name w:val="Footer Char"/>
    <w:basedOn w:val="9"/>
    <w:link w:val="5"/>
    <w:semiHidden/>
    <w:qFormat/>
    <w:uiPriority w:val="99"/>
    <w:rPr>
      <w:rFonts w:ascii="Calibri" w:hAnsi="Calibri" w:cs="Calibri"/>
      <w:sz w:val="18"/>
      <w:szCs w:val="18"/>
    </w:rPr>
  </w:style>
  <w:style w:type="character" w:customStyle="1" w:styleId="15">
    <w:name w:val="Header Char"/>
    <w:basedOn w:val="9"/>
    <w:link w:val="6"/>
    <w:qFormat/>
    <w:locked/>
    <w:uiPriority w:val="99"/>
    <w:rPr>
      <w:kern w:val="2"/>
      <w:sz w:val="22"/>
      <w:szCs w:val="22"/>
    </w:rPr>
  </w:style>
  <w:style w:type="paragraph" w:customStyle="1" w:styleId="16">
    <w:name w:val="列出段落1"/>
    <w:qFormat/>
    <w:uiPriority w:val="99"/>
    <w:pPr>
      <w:ind w:firstLine="420" w:firstLineChars="200"/>
    </w:pPr>
    <w:rPr>
      <w:rFonts w:ascii="Times New Roman" w:hAnsi="Times New Roman" w:eastAsia="宋体" w:cs="Times New Roman"/>
      <w:kern w:val="0"/>
      <w:sz w:val="20"/>
      <w:szCs w:val="20"/>
      <w:lang w:val="en-US" w:eastAsia="zh-CN" w:bidi="ar-SA"/>
    </w:rPr>
  </w:style>
  <w:style w:type="paragraph" w:customStyle="1" w:styleId="17">
    <w:name w:val="No Spacing1"/>
    <w:qFormat/>
    <w:uiPriority w:val="99"/>
    <w:rPr>
      <w:rFonts w:ascii="DengXian" w:hAnsi="DengXian" w:eastAsia="Microsoft YaHei UI" w:cs="DengXian"/>
      <w:kern w:val="0"/>
      <w:sz w:val="22"/>
      <w:szCs w:val="22"/>
      <w:lang w:val="en-US" w:eastAsia="zh-CN" w:bidi="ar-SA"/>
    </w:rPr>
  </w:style>
  <w:style w:type="paragraph" w:customStyle="1" w:styleId="18">
    <w:name w:val="List Paragraph1"/>
    <w:basedOn w:val="1"/>
    <w:qFormat/>
    <w:uiPriority w:val="99"/>
    <w:pPr>
      <w:ind w:firstLine="420" w:firstLineChars="200"/>
    </w:pPr>
  </w:style>
  <w:style w:type="paragraph" w:customStyle="1" w:styleId="19">
    <w:name w:val="p0"/>
    <w:basedOn w:val="1"/>
    <w:qFormat/>
    <w:uiPriority w:val="0"/>
    <w:pPr>
      <w:widowControl/>
    </w:pPr>
    <w:rPr>
      <w:rFonts w:ascii="Calibri" w:hAnsi="Calibri" w:cs="Calibri"/>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6</Pages>
  <Words>2215</Words>
  <Characters>2330</Characters>
  <Lines>0</Lines>
  <Paragraphs>0</Paragraphs>
  <TotalTime>2</TotalTime>
  <ScaleCrop>false</ScaleCrop>
  <LinksUpToDate>false</LinksUpToDate>
  <CharactersWithSpaces>2401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2018-06-18T04:45:00Z</dcterms:created>
  <dc:creator>JTY</dc:creator>
  <cp:lastModifiedBy>hh2297</cp:lastModifiedBy>
  <dcterms:modified xsi:type="dcterms:W3CDTF">2022-03-01T05:39:23Z</dcterms:modified>
  <dc:title>方便选课-按岗位为您蓄能企业岗位培训项目分类</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15DF83CFC3D0435390D9288BBE15D07C</vt:lpwstr>
  </property>
</Properties>
</file>