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color w:val="0000FF"/>
          <w:sz w:val="24"/>
          <w:szCs w:val="24"/>
          <w:lang w:val="en-US" w:eastAsia="zh-CN"/>
        </w:rPr>
      </w:pPr>
      <w:r>
        <w:rPr>
          <w:rFonts w:hint="eastAsia" w:ascii="微软雅黑" w:hAnsi="微软雅黑" w:eastAsia="微软雅黑" w:cs="微软雅黑"/>
          <w:b/>
          <w:bCs/>
          <w:color w:val="0000FF"/>
          <w:sz w:val="24"/>
          <w:szCs w:val="24"/>
          <w:lang w:val="en-US" w:eastAsia="zh-CN"/>
        </w:rPr>
        <w:t>精益物流与现场管理及实务课程2022年课程计划：</w:t>
      </w:r>
    </w:p>
    <w:p>
      <w:pPr>
        <w:rPr>
          <w:rFonts w:hint="eastAsia" w:eastAsia="微软雅黑" w:cs="微软雅黑"/>
          <w:b/>
          <w:bCs/>
          <w:kern w:val="2"/>
          <w:sz w:val="24"/>
          <w:szCs w:val="24"/>
          <w:lang w:val="en-US" w:eastAsia="zh-CN" w:bidi="ar-SA"/>
        </w:rPr>
      </w:pPr>
      <w:r>
        <w:rPr>
          <w:rFonts w:hint="eastAsia" w:ascii="仿宋" w:hAnsi="仿宋" w:eastAsia="微软雅黑"/>
          <w:b/>
          <w:sz w:val="24"/>
          <w:szCs w:val="30"/>
          <w:lang w:eastAsia="zh-CN"/>
        </w:rPr>
        <w:t>课程</w:t>
      </w:r>
      <w:r>
        <w:rPr>
          <w:rFonts w:hint="eastAsia" w:eastAsia="微软雅黑" w:cs="微软雅黑"/>
          <w:b/>
          <w:bCs/>
          <w:kern w:val="2"/>
          <w:sz w:val="24"/>
          <w:szCs w:val="24"/>
          <w:lang w:val="en-US" w:eastAsia="zh-CN" w:bidi="ar-SA"/>
        </w:rPr>
        <w:t>价格：4280（</w:t>
      </w:r>
      <w:r>
        <w:rPr>
          <w:rFonts w:hint="eastAsia" w:ascii="微软雅黑" w:hAnsi="微软雅黑" w:eastAsia="微软雅黑"/>
          <w:b/>
          <w:bCs/>
          <w:sz w:val="24"/>
          <w:szCs w:val="24"/>
          <w:lang w:val="zh-CN"/>
        </w:rPr>
        <w:t>含授课费、资料费、午餐费</w:t>
      </w:r>
      <w:r>
        <w:rPr>
          <w:rFonts w:hint="eastAsia" w:eastAsia="微软雅黑" w:cs="微软雅黑"/>
          <w:b/>
          <w:bCs/>
          <w:kern w:val="2"/>
          <w:sz w:val="24"/>
          <w:szCs w:val="24"/>
          <w:lang w:val="en-US" w:eastAsia="zh-CN" w:bidi="ar-SA"/>
        </w:rPr>
        <w:t>）</w:t>
      </w:r>
    </w:p>
    <w:tbl>
      <w:tblPr>
        <w:tblStyle w:val="8"/>
        <w:tblW w:w="9360" w:type="dxa"/>
        <w:tblInd w:w="0" w:type="dxa"/>
        <w:shd w:val="clear" w:color="auto" w:fill="auto"/>
        <w:tblLayout w:type="autofit"/>
        <w:tblCellMar>
          <w:top w:w="0" w:type="dxa"/>
          <w:left w:w="0" w:type="dxa"/>
          <w:bottom w:w="0" w:type="dxa"/>
          <w:right w:w="0" w:type="dxa"/>
        </w:tblCellMar>
      </w:tblPr>
      <w:tblGrid>
        <w:gridCol w:w="1050"/>
        <w:gridCol w:w="645"/>
        <w:gridCol w:w="645"/>
        <w:gridCol w:w="690"/>
        <w:gridCol w:w="690"/>
        <w:gridCol w:w="690"/>
        <w:gridCol w:w="690"/>
        <w:gridCol w:w="690"/>
        <w:gridCol w:w="690"/>
        <w:gridCol w:w="690"/>
        <w:gridCol w:w="690"/>
        <w:gridCol w:w="750"/>
        <w:gridCol w:w="750"/>
      </w:tblGrid>
      <w:tr>
        <w:tblPrEx>
          <w:shd w:val="clear" w:color="auto" w:fill="auto"/>
          <w:tblCellMar>
            <w:top w:w="0" w:type="dxa"/>
            <w:left w:w="0" w:type="dxa"/>
            <w:bottom w:w="0" w:type="dxa"/>
            <w:right w:w="0" w:type="dxa"/>
          </w:tblCellMar>
        </w:tblPrEx>
        <w:trPr>
          <w:trHeight w:val="285"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十二月</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2</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r>
    </w:tbl>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b/>
          <w:bCs/>
          <w:color w:val="3366FF"/>
          <w:kern w:val="0"/>
          <w:sz w:val="24"/>
          <w:szCs w:val="24"/>
        </w:rPr>
        <w:t>培训对象：</w:t>
      </w:r>
      <w:r>
        <w:rPr>
          <w:rFonts w:hint="eastAsia" w:ascii="微软雅黑" w:hAnsi="微软雅黑" w:eastAsia="微软雅黑" w:cs="微软雅黑"/>
          <w:color w:val="666666"/>
          <w:kern w:val="0"/>
          <w:sz w:val="24"/>
          <w:szCs w:val="24"/>
        </w:rPr>
        <w:t>总经理、厂长、经理、工厂精益倡导者、中高层管理者、精益推进负责人、精益项目Leader、工程师、IE工程师、主管、班组长</w:t>
      </w:r>
    </w:p>
    <w:p>
      <w:pPr>
        <w:widowControl/>
        <w:spacing w:line="252" w:lineRule="atLeast"/>
        <w:jc w:val="left"/>
        <w:textAlignment w:val="baseline"/>
        <w:rPr>
          <w:rFonts w:hint="eastAsia" w:ascii="微软雅黑" w:hAnsi="微软雅黑" w:eastAsia="微软雅黑" w:cs="微软雅黑"/>
          <w:b/>
          <w:bCs/>
          <w:color w:val="3366FF"/>
          <w:kern w:val="0"/>
          <w:sz w:val="24"/>
          <w:szCs w:val="24"/>
          <w:lang w:val="en-US" w:eastAsia="zh-CN"/>
        </w:rPr>
      </w:pPr>
      <w:r>
        <w:rPr>
          <w:rFonts w:hint="eastAsia" w:ascii="微软雅黑" w:hAnsi="微软雅黑" w:eastAsia="微软雅黑" w:cs="微软雅黑"/>
          <w:b/>
          <w:bCs/>
          <w:color w:val="3366FF"/>
          <w:kern w:val="0"/>
          <w:sz w:val="24"/>
          <w:szCs w:val="24"/>
          <w:lang w:val="en-US" w:eastAsia="zh-CN"/>
        </w:rPr>
        <w:t>课程收益：</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学员学完本课程之后，应能---</w:t>
      </w:r>
    </w:p>
    <w:p>
      <w:pPr>
        <w:widowControl/>
        <w:spacing w:line="156" w:lineRule="atLeast"/>
        <w:ind w:left="420" w:hanging="420"/>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 认识客户需求，即找出企业的价值，并设法满足客户的要求。</w:t>
      </w:r>
    </w:p>
    <w:p>
      <w:pPr>
        <w:widowControl/>
        <w:spacing w:line="156" w:lineRule="atLeast"/>
        <w:ind w:left="420" w:hanging="420"/>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 如何让这些作业流程流动起来，将其中不能为客户增值的工作，即浪费，找出来并尽快消灭。</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3.  实现一体化物流管理与高效物料配送，降低库存提高对客户需求快速反应能力。　　　　</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b/>
          <w:bCs/>
          <w:color w:val="3366FF"/>
          <w:kern w:val="0"/>
          <w:sz w:val="24"/>
          <w:szCs w:val="24"/>
        </w:rPr>
        <w:t>培训方式：</w:t>
      </w:r>
      <w:r>
        <w:rPr>
          <w:rFonts w:hint="eastAsia" w:ascii="微软雅黑" w:hAnsi="微软雅黑" w:eastAsia="微软雅黑" w:cs="微软雅黑"/>
          <w:color w:val="666666"/>
          <w:kern w:val="0"/>
          <w:sz w:val="24"/>
          <w:szCs w:val="24"/>
        </w:rPr>
        <w:t>互动教学，多元学习，分组讨论，案例分析、角色扮演，工作实例应用</w:t>
      </w:r>
    </w:p>
    <w:p>
      <w:pPr>
        <w:widowControl/>
        <w:spacing w:line="252" w:lineRule="atLeast"/>
        <w:jc w:val="left"/>
        <w:textAlignment w:val="baseline"/>
        <w:rPr>
          <w:rFonts w:hint="eastAsia" w:ascii="微软雅黑" w:hAnsi="微软雅黑" w:eastAsia="微软雅黑" w:cs="微软雅黑"/>
          <w:b/>
          <w:bCs/>
          <w:color w:val="3366FF"/>
          <w:kern w:val="0"/>
          <w:sz w:val="24"/>
          <w:szCs w:val="24"/>
        </w:rPr>
      </w:pPr>
      <w:r>
        <w:rPr>
          <w:rFonts w:hint="eastAsia" w:ascii="微软雅黑" w:hAnsi="微软雅黑" w:eastAsia="微软雅黑" w:cs="微软雅黑"/>
          <w:b/>
          <w:bCs/>
          <w:color w:val="3366FF"/>
          <w:kern w:val="0"/>
          <w:sz w:val="24"/>
          <w:szCs w:val="24"/>
        </w:rPr>
        <w:t>课程</w:t>
      </w:r>
      <w:r>
        <w:rPr>
          <w:rFonts w:hint="eastAsia" w:ascii="微软雅黑" w:hAnsi="微软雅黑" w:eastAsia="微软雅黑" w:cs="微软雅黑"/>
          <w:b/>
          <w:bCs/>
          <w:color w:val="3366FF"/>
          <w:kern w:val="0"/>
          <w:sz w:val="24"/>
          <w:szCs w:val="24"/>
          <w:lang w:eastAsia="zh-CN"/>
        </w:rPr>
        <w:t>大纲</w:t>
      </w:r>
      <w:r>
        <w:rPr>
          <w:rFonts w:hint="eastAsia" w:ascii="微软雅黑" w:hAnsi="微软雅黑" w:eastAsia="微软雅黑" w:cs="微软雅黑"/>
          <w:b/>
          <w:bCs/>
          <w:color w:val="3366FF"/>
          <w:kern w:val="0"/>
          <w:sz w:val="24"/>
          <w:szCs w:val="24"/>
        </w:rPr>
        <w:t>：</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一、 精益物流概述</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 物流的基本概念</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 精益管理的本质</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3. 物流管理的现状</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4. 精益物流模式</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二、 精益物流一体化管理</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 入厂物流与供应物流、生产物流一体化规划</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lang w:val="en-US" w:eastAsia="zh-CN"/>
        </w:rPr>
        <w:t>2.</w:t>
      </w:r>
      <w:r>
        <w:rPr>
          <w:rFonts w:hint="eastAsia" w:ascii="微软雅黑" w:hAnsi="微软雅黑" w:eastAsia="微软雅黑" w:cs="微软雅黑"/>
          <w:color w:val="666666"/>
          <w:kern w:val="0"/>
          <w:sz w:val="24"/>
          <w:szCs w:val="24"/>
        </w:rPr>
        <w:t>仓储、配送与在线物料一体化管理</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lang w:val="en-US" w:eastAsia="zh-CN"/>
        </w:rPr>
        <w:t>3.</w:t>
      </w:r>
      <w:r>
        <w:rPr>
          <w:rFonts w:hint="eastAsia" w:ascii="微软雅黑" w:hAnsi="微软雅黑" w:eastAsia="微软雅黑" w:cs="微软雅黑"/>
          <w:color w:val="666666"/>
          <w:kern w:val="0"/>
          <w:sz w:val="24"/>
          <w:szCs w:val="24"/>
        </w:rPr>
        <w:t>仓库库存、在线库存与成本品库存一体化管理</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4. 线边物料超市管理</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5. 包装容器规划</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三、入厂物流规划</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 Milk Run定常路线</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  直送工厂</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3．RDG物流管理外包</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4．VMI供应商管理库存</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5. JIT直送工位</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四、精益现场管理---从识别浪费开始</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 工厂情况再现</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 现场浪费因果循环分析图</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3. 现场七大浪费分析</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案例练习：某企业现场典型浪费剖析</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五、精益生产的落地--工具应用 </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 5S与目视化</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 单元化设计</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①单元化生产模式的定义与特点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②单元化生产模式的种类</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③设备加工单元化与流水线单元化</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④单元化生产线设计步骤</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3. 全员生产维护（TPM）</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①设备8大LOSS分析</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②自主管理的3项能力要求</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③设备自主管理5步曲</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④设备点检效率化：目视管理</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4. 准时化生产与看板拉动（JIT &amp; Kanban）</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六、管理信息系统现场应用</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 基于物联网的智能物流</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 MES系统在生产管理当中的应用</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3. ANDON系统应用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张老师介绍：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惠普质量管理学院 高级顾问 ；丰田精益管理  专职咨询顾问 ；丰田工程技术株式会社 研修顾问；上海市中小企业协会合作顾问；杭州市企业转型升级咨询顾问；国际职业训练协会认证教练；上海市注册管理咨询师；上海大学MBA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工作经历：曾任上海英业达集团生产课长；昆山华新电子集团厂长，负责精益生产项目培训与推进，精益生产培训（VSM,IE,PMC，SMED,5S与目视化，标准作业，生产线布局等），生产现场管理与效率提升，生产计划物料控制，物流仓储管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擅长课程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精益生产管理培训》《5S与目视化管理》《TPM全员设备自主保全》《生产成本降低与效率提升》《柔性生产计划与物料管理》《物流与供应链管理》《车间准时化生产》《生产质量分析与解决》《TQM全面质量管理》《QCC品管圈操作实务》《金牌班组长实战与能力提升》《现场主管管理技能实战》《时间管理与工作计划》《MTP中层管理人员技能提升》《高效沟通技巧》《TTT内部讲师训练》《优秀员工职业化心态训练》《结果为王-员工执行力提升》《高绩效团队建设》《有效激励员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培训风格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生动风趣、逻辑清晰、剖析深入、案例实用、图文并茂、授课过程极具感染力。培训内容均是在管理实践中总结和感悟而来，很多观点和方法都会给学员极大的启发和改变。培训效果得到参加培训人员及企业内部一致认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培训特色：</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启发式教学 — 充分调动学员的积极性，强化学员的创新性和主动性；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案例式教学 — 讲解式（印证式）案例和讨论式（探究式）案例研究；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互动式参与 — 融知识于学员体验中，行为再复制及知识应用度高；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强化文化式 — 从学员思维形式上、心智模式上将企业文化融入知识中；</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情境教学式 — 角色互换、情境模拟、使学员对所学课题有更多感悟。</w:t>
      </w: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pStyle w:val="17"/>
        <w:spacing w:line="360" w:lineRule="auto"/>
        <w:jc w:val="center"/>
        <w:rPr>
          <w:rFonts w:hint="eastAsia" w:ascii="黑体" w:hAnsi="黑体" w:eastAsia="黑体" w:cs="黑体"/>
          <w:kern w:val="2"/>
        </w:rPr>
      </w:pPr>
      <w:r>
        <w:rPr>
          <w:rFonts w:hint="eastAsia" w:ascii="黑体" w:hAnsi="黑体" w:eastAsia="黑体" w:cs="黑体"/>
          <w:b/>
          <w:bCs/>
          <w:kern w:val="2"/>
        </w:rPr>
        <w:t>报名回执表</w:t>
      </w:r>
    </w:p>
    <w:p>
      <w:pPr>
        <w:spacing w:line="360" w:lineRule="auto"/>
        <w:ind w:firstLine="422" w:firstLineChars="200"/>
        <w:jc w:val="center"/>
        <w:rPr>
          <w:rFonts w:hint="eastAsia" w:ascii="黑体" w:hAnsi="黑体" w:eastAsia="黑体" w:cs="黑体"/>
          <w:b/>
          <w:szCs w:val="21"/>
        </w:rPr>
      </w:pPr>
    </w:p>
    <w:tbl>
      <w:tblPr>
        <w:tblStyle w:val="8"/>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7533" w:type="dxa"/>
            <w:gridSpan w:val="7"/>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通讯地址</w:t>
            </w:r>
          </w:p>
        </w:tc>
        <w:tc>
          <w:tcPr>
            <w:tcW w:w="5018" w:type="dxa"/>
            <w:gridSpan w:val="5"/>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邮编</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联系人</w:t>
            </w:r>
          </w:p>
        </w:tc>
        <w:tc>
          <w:tcPr>
            <w:tcW w:w="1191" w:type="dxa"/>
            <w:gridSpan w:val="3"/>
            <w:noWrap w:val="0"/>
            <w:vAlign w:val="center"/>
          </w:tcPr>
          <w:p>
            <w:pPr>
              <w:widowControl/>
              <w:spacing w:line="360" w:lineRule="auto"/>
              <w:outlineLvl w:val="0"/>
              <w:rPr>
                <w:rFonts w:hint="eastAsia" w:ascii="黑体" w:hAnsi="黑体" w:eastAsia="黑体" w:cs="黑体"/>
                <w:kern w:val="0"/>
                <w:szCs w:val="21"/>
              </w:rPr>
            </w:pPr>
          </w:p>
        </w:tc>
        <w:tc>
          <w:tcPr>
            <w:tcW w:w="180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联系电话</w:t>
            </w:r>
          </w:p>
        </w:tc>
        <w:tc>
          <w:tcPr>
            <w:tcW w:w="1944" w:type="dxa"/>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传真</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QQ</w:t>
            </w:r>
          </w:p>
        </w:tc>
        <w:tc>
          <w:tcPr>
            <w:tcW w:w="3034" w:type="dxa"/>
            <w:gridSpan w:val="4"/>
            <w:noWrap w:val="0"/>
            <w:vAlign w:val="center"/>
          </w:tcPr>
          <w:p>
            <w:pPr>
              <w:widowControl/>
              <w:spacing w:line="360" w:lineRule="auto"/>
              <w:outlineLvl w:val="0"/>
              <w:rPr>
                <w:rFonts w:hint="eastAsia" w:ascii="黑体" w:hAnsi="黑体" w:eastAsia="黑体" w:cs="黑体"/>
                <w:kern w:val="0"/>
                <w:szCs w:val="21"/>
              </w:rPr>
            </w:pPr>
          </w:p>
        </w:tc>
        <w:tc>
          <w:tcPr>
            <w:tcW w:w="1944"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邮箱</w:t>
            </w:r>
          </w:p>
        </w:tc>
        <w:tc>
          <w:tcPr>
            <w:tcW w:w="2475" w:type="dxa"/>
            <w:gridSpan w:val="2"/>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学员姓名</w:t>
            </w: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性别</w:t>
            </w: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职务</w:t>
            </w: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手机</w:t>
            </w: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打款账号</w:t>
            </w: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上海蓝草企业管理咨询有限公司</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银行名称：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建行上海第四支行</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开户银行、帐号：</w:t>
            </w:r>
          </w:p>
        </w:tc>
        <w:tc>
          <w:tcPr>
            <w:tcW w:w="4459" w:type="dxa"/>
            <w:gridSpan w:val="3"/>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黑体" w:eastAsia="黑体" w:cs="黑体"/>
                <w:color w:val="000000"/>
                <w:kern w:val="0"/>
                <w:szCs w:val="21"/>
              </w:rPr>
              <w:t>31001503800056001693</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宋体" w:eastAsia="黑体"/>
                <w:sz w:val="22"/>
                <w:szCs w:val="22"/>
              </w:rPr>
              <w:t xml:space="preserve"> ☑ 提前转帐付款</w:t>
            </w:r>
          </w:p>
        </w:tc>
      </w:tr>
    </w:tbl>
    <w:p>
      <w:pPr>
        <w:spacing w:line="360" w:lineRule="auto"/>
        <w:ind w:firstLine="4830" w:firstLineChars="2300"/>
        <w:rPr>
          <w:rFonts w:ascii="Times New Roman" w:hAnsi="Times New Roman" w:eastAsia="黑体"/>
          <w:bCs/>
          <w:color w:val="000000"/>
          <w:kern w:val="2"/>
        </w:rPr>
      </w:pPr>
      <w:r>
        <w:rPr>
          <w:rFonts w:hint="eastAsia" w:ascii="黑体" w:hAnsi="黑体" w:eastAsia="黑体" w:cs="黑体"/>
          <w:szCs w:val="21"/>
        </w:rPr>
        <w:t xml:space="preserve">               （此表复印有效）</w:t>
      </w:r>
    </w:p>
    <w:p>
      <w:pPr>
        <w:pStyle w:val="7"/>
        <w:spacing w:before="56" w:beforeLines="18" w:beforeAutospacing="0" w:after="0" w:afterAutospacing="0" w:line="260" w:lineRule="exact"/>
        <w:rPr>
          <w:rFonts w:ascii="Times New Roman" w:hAnsi="Times New Roman" w:eastAsia="黑体"/>
          <w:bCs/>
          <w:color w:val="000000"/>
          <w:kern w:val="2"/>
        </w:rPr>
      </w:pPr>
      <w:r>
        <w:rPr>
          <w:rFonts w:ascii="Times New Roman" w:hAnsi="Times New Roman" w:eastAsia="黑体"/>
          <w:bCs/>
          <w:color w:val="000000"/>
          <w:kern w:val="2"/>
        </w:rPr>
        <w:t>备   注：</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收到您的报名表后，我们将尽快与您联络，如您一个工作日内未接到我们的任何通知，请及时电话与我们联系确认，谢谢！</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已报名的企业/个人如有其他原因不能如期参加，请</w:t>
      </w:r>
      <w:r>
        <w:rPr>
          <w:rFonts w:hint="eastAsia" w:ascii="黑体" w:hAnsi="_x000B__x000C_" w:eastAsia="黑体"/>
          <w:sz w:val="22"/>
        </w:rPr>
        <w:t>开课前一周</w:t>
      </w:r>
      <w:r>
        <w:rPr>
          <w:rFonts w:ascii="黑体" w:hAnsi="_x000B__x000C_" w:eastAsia="黑体"/>
          <w:sz w:val="22"/>
        </w:rPr>
        <w:t>通知本公司，如有已转入的款项我公司可根据报名者意愿将费用转为其他课程费用</w:t>
      </w:r>
      <w:r>
        <w:rPr>
          <w:rFonts w:hint="eastAsia" w:ascii="黑体" w:hAnsi="_x000B__x000C_" w:eastAsia="黑体"/>
          <w:sz w:val="22"/>
        </w:rPr>
        <w:t>。已经收取课酬费用不再退还</w:t>
      </w:r>
      <w:r>
        <w:rPr>
          <w:rFonts w:ascii="黑体" w:hAnsi="_x000B__x000C_" w:eastAsia="黑体"/>
          <w:sz w:val="22"/>
        </w:rPr>
        <w:t>。</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注意：</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请将报名表填写完整，发至我方即可。我方收到报名表后，将以电话、传真或</w:t>
      </w:r>
      <w:r>
        <w:rPr>
          <w:rFonts w:ascii="微软雅黑" w:hAnsi="微软雅黑" w:eastAsia="微软雅黑" w:cs="微软雅黑"/>
          <w:sz w:val="22"/>
          <w:szCs w:val="24"/>
        </w:rPr>
        <w:t>E-mail</w:t>
      </w:r>
      <w:r>
        <w:rPr>
          <w:rFonts w:hint="eastAsia" w:ascii="微软雅黑" w:hAnsi="微软雅黑" w:eastAsia="微软雅黑" w:cs="微软雅黑"/>
          <w:sz w:val="22"/>
          <w:szCs w:val="24"/>
        </w:rPr>
        <w:t>等方式确认收到报名表。</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请在培训之前三个工作日内将报名表回传</w:t>
      </w:r>
      <w:r>
        <w:rPr>
          <w:rFonts w:ascii="微软雅黑" w:hAnsi="微软雅黑" w:eastAsia="微软雅黑" w:cs="微软雅黑"/>
          <w:sz w:val="22"/>
          <w:szCs w:val="24"/>
        </w:rPr>
        <w:t>,</w:t>
      </w:r>
      <w:r>
        <w:rPr>
          <w:rFonts w:hint="eastAsia" w:ascii="微软雅黑" w:hAnsi="微软雅黑" w:eastAsia="微软雅黑" w:cs="微软雅黑"/>
          <w:sz w:val="22"/>
          <w:szCs w:val="24"/>
        </w:rPr>
        <w:t>课前一周另行发送详细会务安排</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本课程可针对企业需求，上门服务，组织内训，欢迎咨询。</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请参会学员准备一盒名片</w:t>
      </w:r>
      <w:r>
        <w:rPr>
          <w:rFonts w:ascii="微软雅黑" w:hAnsi="微软雅黑" w:eastAsia="微软雅黑" w:cs="微软雅黑"/>
          <w:sz w:val="22"/>
          <w:szCs w:val="24"/>
        </w:rPr>
        <w:t>,</w:t>
      </w:r>
      <w:r>
        <w:rPr>
          <w:rFonts w:hint="eastAsia" w:ascii="微软雅黑" w:hAnsi="微软雅黑" w:eastAsia="微软雅黑" w:cs="微软雅黑"/>
          <w:sz w:val="22"/>
          <w:szCs w:val="24"/>
        </w:rPr>
        <w:t>以便学员间交流学习。</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请准备几个工作中遇到的问题以便进行讨论。</w:t>
      </w:r>
    </w:p>
    <w:p>
      <w:pPr>
        <w:rPr>
          <w:rFonts w:ascii="微软雅黑" w:hAnsi="微软雅黑" w:eastAsia="微软雅黑" w:cs="Times New Roman"/>
          <w:sz w:val="22"/>
          <w:szCs w:val="24"/>
        </w:rPr>
      </w:pPr>
      <w:r>
        <w:rPr>
          <w:rFonts w:hint="eastAsia" w:ascii="微软雅黑" w:hAnsi="微软雅黑" w:eastAsia="微软雅黑" w:cs="微软雅黑"/>
          <w:sz w:val="22"/>
          <w:szCs w:val="24"/>
          <w:lang w:val="zh-CN"/>
        </w:rPr>
        <w:t>此表所填信息仅用于招生工作，对所填写的客户信息，我司严格保密，如需参加请填写回传给我们</w:t>
      </w:r>
      <w:r>
        <w:rPr>
          <w:rFonts w:hint="eastAsia" w:ascii="微软雅黑" w:hAnsi="微软雅黑" w:eastAsia="微软雅黑" w:cs="微软雅黑"/>
          <w:sz w:val="22"/>
          <w:szCs w:val="24"/>
        </w:rPr>
        <w:t>，以便及时为您安排会务并发确认函，谢谢支持！</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color w:val="00B0F0"/>
      </w:rPr>
    </w:pPr>
    <w:r>
      <w:rPr>
        <w:rFonts w:ascii="Calibri" w:hAnsi="Calibri" w:eastAsia="宋体" w:cs="Times New Roman"/>
        <w:kern w:val="2"/>
        <w:sz w:val="18"/>
        <w:szCs w:val="22"/>
        <w:lang w:val="en-US" w:eastAsia="zh-CN" w:bidi="ar-SA"/>
      </w:rPr>
      <w:pict>
        <v:rect id="文本框 4" o:spid="_x0000_s4099" o:spt="1" style="position:absolute;left:0pt;margin-left:177.95pt;margin-top:4.15pt;height:31.2pt;width:276.1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pStyle w:val="5"/>
                  <w:rPr>
                    <w:rFonts w:hint="eastAsia" w:ascii="华文行楷" w:eastAsia="微软雅黑"/>
                    <w:b/>
                    <w:color w:val="00B0F0"/>
                    <w:sz w:val="28"/>
                    <w:szCs w:val="24"/>
                  </w:rPr>
                </w:pPr>
              </w:p>
              <w:p/>
            </w:txbxContent>
          </v:textbox>
        </v:rect>
      </w:pict>
    </w:r>
    <w:r>
      <w:rPr>
        <w:rFonts w:ascii="Calibri" w:hAnsi="Calibri" w:eastAsia="宋体" w:cs="Times New Roman"/>
        <w:kern w:val="2"/>
        <w:sz w:val="18"/>
        <w:szCs w:val="22"/>
        <w:lang w:val="en-US" w:eastAsia="zh-CN" w:bidi="ar-SA"/>
      </w:rPr>
      <w:pict>
        <v:line id="直线连接符 3" o:spid="_x0000_s4100" o:spt="20" style="position:absolute;left:0pt;margin-left:-85.95pt;margin-top:-3.5pt;height:0.55pt;width:585pt;z-index:251660288;mso-width-relative:page;mso-height-relative:page;" fillcolor="#FFFFFF" filled="f" o:preferrelative="t" stroked="t" coordsize="21600,21600">
          <v:path arrowok="t"/>
          <v:fill on="f" color2="#FFFFFF" focussize="0,0"/>
          <v:stroke weight="1.75pt" color="#4A7DBA" color2="#FFFFFF" miterlimit="2" dashstyle="longDashDot"/>
          <v:imagedata gain="65536f" blacklevel="0f" gamma="0" o:title=""/>
          <o:lock v:ext="edit" position="f" selection="f" grouping="f" rotation="f" cropping="f" text="f" aspectratio="f"/>
        </v:lin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微软雅黑"/>
        <w:color w:val="0000FF"/>
        <w:sz w:val="24"/>
      </w:rPr>
    </w:pPr>
    <w:r>
      <w:rPr>
        <w:rFonts w:ascii="Calibri" w:hAnsi="Calibri" w:eastAsia="宋体" w:cs="Times New Roman"/>
        <w:kern w:val="2"/>
        <w:sz w:val="21"/>
        <w:szCs w:val="22"/>
        <w:lang w:val="en-US" w:eastAsia="zh-CN" w:bidi="ar-SA"/>
      </w:rPr>
      <w:pict>
        <v:line id="直线连接符 2" o:spid="_x0000_s4098" o:spt="20" style="position:absolute;left:0pt;margin-left:-85.95pt;margin-top:17.65pt;height:0.05pt;width:585pt;z-index:251659264;mso-width-relative:page;mso-height-relative:page;" fillcolor="#FFFFFF" filled="f" o:preferrelative="t" stroked="t" coordsize="21600,21600">
          <v:path arrowok="t"/>
          <v:fill on="f" color2="#FFFFFF" focussize="0,0"/>
          <v:stroke weight="1.25pt" color="#17365D" color2="#FFFFFF" miterlimit="2" dashstyle="1 1"/>
          <v:imagedata gain="65536f" blacklevel="0f" gamma="0" o:title=""/>
          <o:lock v:ext="edit" position="f" selection="f" grouping="f" rotation="f" cropping="f" text="f" aspectratio="f"/>
        </v:line>
      </w:pict>
    </w:r>
    <w:r>
      <w:rPr>
        <w:rFonts w:hint="eastAsia" w:eastAsia="微软雅黑"/>
        <w:color w:val="0000FF"/>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6333D"/>
    <w:multiLevelType w:val="multilevel"/>
    <w:tmpl w:val="4076333D"/>
    <w:lvl w:ilvl="0" w:tentative="0">
      <w:start w:val="1"/>
      <w:numFmt w:val="decimal"/>
      <w:lvlText w:val="%1．"/>
      <w:lvlJc w:val="left"/>
      <w:pPr>
        <w:tabs>
          <w:tab w:val="left" w:pos="1409"/>
        </w:tabs>
        <w:ind w:left="1409" w:hanging="87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7B2D"/>
    <w:rsid w:val="003018A4"/>
    <w:rsid w:val="00331F87"/>
    <w:rsid w:val="00343FEE"/>
    <w:rsid w:val="0042048F"/>
    <w:rsid w:val="004279C2"/>
    <w:rsid w:val="00444909"/>
    <w:rsid w:val="004759B6"/>
    <w:rsid w:val="004B3B51"/>
    <w:rsid w:val="00577A72"/>
    <w:rsid w:val="00585547"/>
    <w:rsid w:val="005B4BAE"/>
    <w:rsid w:val="006339D7"/>
    <w:rsid w:val="008E00CF"/>
    <w:rsid w:val="0091450E"/>
    <w:rsid w:val="00944593"/>
    <w:rsid w:val="009B74C9"/>
    <w:rsid w:val="009F1362"/>
    <w:rsid w:val="00AB3A77"/>
    <w:rsid w:val="00B05CFB"/>
    <w:rsid w:val="00B944D8"/>
    <w:rsid w:val="00C473A3"/>
    <w:rsid w:val="00CD04FE"/>
    <w:rsid w:val="00D46862"/>
    <w:rsid w:val="00D47868"/>
    <w:rsid w:val="00DA7308"/>
    <w:rsid w:val="00FA3F21"/>
    <w:rsid w:val="07653B49"/>
    <w:rsid w:val="07D72BC0"/>
    <w:rsid w:val="08C14AF7"/>
    <w:rsid w:val="091370B9"/>
    <w:rsid w:val="09497C15"/>
    <w:rsid w:val="0C7B6C08"/>
    <w:rsid w:val="0D29619B"/>
    <w:rsid w:val="120C5579"/>
    <w:rsid w:val="13CC4E9B"/>
    <w:rsid w:val="185D5D00"/>
    <w:rsid w:val="18727FDF"/>
    <w:rsid w:val="18AA49CE"/>
    <w:rsid w:val="19307812"/>
    <w:rsid w:val="1B5D6CB0"/>
    <w:rsid w:val="1E0846AD"/>
    <w:rsid w:val="1E9513D1"/>
    <w:rsid w:val="207A369E"/>
    <w:rsid w:val="22512124"/>
    <w:rsid w:val="24C53865"/>
    <w:rsid w:val="24E2215B"/>
    <w:rsid w:val="24FE1C1A"/>
    <w:rsid w:val="2EA63BA7"/>
    <w:rsid w:val="2F20473C"/>
    <w:rsid w:val="2F651E5A"/>
    <w:rsid w:val="31A74EDB"/>
    <w:rsid w:val="35697039"/>
    <w:rsid w:val="359F2EF3"/>
    <w:rsid w:val="35FC7B89"/>
    <w:rsid w:val="3EC641CB"/>
    <w:rsid w:val="415B199C"/>
    <w:rsid w:val="41FA4F75"/>
    <w:rsid w:val="428722D9"/>
    <w:rsid w:val="4289324C"/>
    <w:rsid w:val="46DD52D1"/>
    <w:rsid w:val="4ABE0178"/>
    <w:rsid w:val="4B775CBC"/>
    <w:rsid w:val="4B9A0D61"/>
    <w:rsid w:val="4FF74A5F"/>
    <w:rsid w:val="50182A7A"/>
    <w:rsid w:val="50D711D4"/>
    <w:rsid w:val="50E94570"/>
    <w:rsid w:val="526117B6"/>
    <w:rsid w:val="528637C2"/>
    <w:rsid w:val="532113DE"/>
    <w:rsid w:val="541A2745"/>
    <w:rsid w:val="56B758CC"/>
    <w:rsid w:val="5A7079C8"/>
    <w:rsid w:val="5E447AEB"/>
    <w:rsid w:val="600E2DA9"/>
    <w:rsid w:val="624600FE"/>
    <w:rsid w:val="63352E4C"/>
    <w:rsid w:val="643D21C4"/>
    <w:rsid w:val="64CB7612"/>
    <w:rsid w:val="650A5188"/>
    <w:rsid w:val="656F550D"/>
    <w:rsid w:val="68191231"/>
    <w:rsid w:val="6AA221E0"/>
    <w:rsid w:val="6B373DBE"/>
    <w:rsid w:val="6B6F241E"/>
    <w:rsid w:val="6FA974C0"/>
    <w:rsid w:val="713E5EB9"/>
    <w:rsid w:val="71A26424"/>
    <w:rsid w:val="74862B56"/>
    <w:rsid w:val="749B5A6C"/>
    <w:rsid w:val="77575744"/>
    <w:rsid w:val="78FA74D2"/>
    <w:rsid w:val="7AFD3EEA"/>
    <w:rsid w:val="7FFD22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link w:val="1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unhideWhenUsed/>
    <w:qFormat/>
    <w:uiPriority w:val="0"/>
    <w:rPr>
      <w:color w:val="800080"/>
      <w:u w:val="single"/>
    </w:rPr>
  </w:style>
  <w:style w:type="character" w:styleId="11">
    <w:name w:val="Hyperlink"/>
    <w:basedOn w:val="9"/>
    <w:unhideWhenUsed/>
    <w:qFormat/>
    <w:uiPriority w:val="0"/>
    <w:rPr>
      <w:color w:val="0000FF"/>
      <w:u w:val="single"/>
    </w:rPr>
  </w:style>
  <w:style w:type="paragraph" w:customStyle="1" w:styleId="12">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3">
    <w:name w:val="No Spacing"/>
    <w:qFormat/>
    <w:uiPriority w:val="1"/>
    <w:rPr>
      <w:rFonts w:ascii="DengXian" w:hAnsi="DengXian" w:eastAsia="Microsoft YaHei UI" w:cs="Arial"/>
      <w:sz w:val="22"/>
      <w:szCs w:val="22"/>
      <w:lang w:val="en-US" w:eastAsia="zh-CN" w:bidi="ar-SA"/>
    </w:rPr>
  </w:style>
  <w:style w:type="paragraph" w:customStyle="1" w:styleId="14">
    <w:name w:val="List Paragraph"/>
    <w:basedOn w:val="1"/>
    <w:qFormat/>
    <w:uiPriority w:val="99"/>
    <w:pPr>
      <w:ind w:firstLine="420" w:firstLineChars="200"/>
    </w:pPr>
  </w:style>
  <w:style w:type="character" w:customStyle="1" w:styleId="15">
    <w:name w:val="页眉字符"/>
    <w:link w:val="6"/>
    <w:qFormat/>
    <w:uiPriority w:val="99"/>
    <w:rPr>
      <w:kern w:val="2"/>
      <w:sz w:val="18"/>
      <w:szCs w:val="22"/>
    </w:rPr>
  </w:style>
  <w:style w:type="character" w:customStyle="1" w:styleId="16">
    <w:name w:val="标题 1字符"/>
    <w:basedOn w:val="9"/>
    <w:link w:val="3"/>
    <w:qFormat/>
    <w:uiPriority w:val="9"/>
    <w:rPr>
      <w:rFonts w:ascii="Calibri" w:hAnsi="Calibri"/>
      <w:b/>
      <w:bCs/>
      <w:kern w:val="44"/>
      <w:sz w:val="44"/>
      <w:szCs w:val="44"/>
    </w:rPr>
  </w:style>
  <w:style w:type="paragraph" w:customStyle="1" w:styleId="17">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1411</Characters>
  <Lines>11</Lines>
  <Paragraphs>3</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hh2297</cp:lastModifiedBy>
  <dcterms:modified xsi:type="dcterms:W3CDTF">2022-03-02T07:58:28Z</dcterms:modified>
  <dc:title>方便选课-按岗位为您蓄能企业岗位培训项目分类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1A52F5E3BD1D43D39AF4CE8EC87B03FB</vt:lpwstr>
  </property>
</Properties>
</file>