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76" w:lineRule="auto"/>
        <w:jc w:val="center"/>
        <w:rPr>
          <w:rFonts w:ascii="微软雅黑" w:hAnsi="微软雅黑" w:eastAsia="微软雅黑"/>
          <w:b/>
          <w:color w:val="002060"/>
          <w:sz w:val="40"/>
          <w:szCs w:val="40"/>
        </w:rPr>
      </w:pPr>
      <w:r>
        <w:rPr>
          <w:rFonts w:hint="eastAsia" w:ascii="微软雅黑" w:hAnsi="微软雅黑" w:eastAsia="微软雅黑"/>
          <w:b/>
          <w:color w:val="002060"/>
          <w:sz w:val="40"/>
          <w:szCs w:val="40"/>
        </w:rPr>
        <w:t>中高层管理者安全责任意识与安全领导力</w:t>
      </w:r>
    </w:p>
    <w:p>
      <w:pPr>
        <w:rPr>
          <w:rFonts w:ascii="微软雅黑" w:hAnsi="微软雅黑" w:eastAsia="微软雅黑"/>
          <w:b/>
          <w:color w:val="767171" w:themeColor="background2" w:themeShade="80"/>
          <w:sz w:val="28"/>
          <w:szCs w:val="32"/>
          <w:lang w:eastAsia="zh-CN"/>
        </w:rPr>
      </w:pPr>
      <w:r>
        <w:rPr>
          <w:rFonts w:hint="eastAsia" w:ascii="微软雅黑" w:hAnsi="微软雅黑" w:eastAsia="微软雅黑"/>
          <w:b/>
          <w:color w:val="767171" w:themeColor="background2" w:themeShade="80"/>
          <w:sz w:val="28"/>
          <w:szCs w:val="32"/>
          <w:lang w:eastAsia="zh-CN"/>
        </w:rPr>
        <w:t>课程概述</w:t>
      </w:r>
    </w:p>
    <w:p>
      <w:pPr>
        <w:spacing w:line="520" w:lineRule="exact"/>
        <w:ind w:firstLine="424" w:firstLineChars="202"/>
        <w:rPr>
          <w:rFonts w:ascii="微软雅黑" w:hAnsi="微软雅黑" w:eastAsia="微软雅黑"/>
          <w:sz w:val="21"/>
          <w:szCs w:val="20"/>
          <w:lang w:eastAsia="zh-CN"/>
        </w:rPr>
      </w:pPr>
      <w:r>
        <w:rPr>
          <w:rFonts w:hint="eastAsia" w:ascii="微软雅黑" w:hAnsi="微软雅黑" w:eastAsia="微软雅黑"/>
          <w:sz w:val="21"/>
          <w:szCs w:val="20"/>
          <w:lang w:eastAsia="zh-CN"/>
        </w:rPr>
        <w:t>近年来，安全生产法律法规日趋完善，政府监管力度不断增加，企业面临的责任与风险日益增强。如何将安全管理落到事故，切实有效控制事故风险，成为企业共同的关注点。</w:t>
      </w:r>
    </w:p>
    <w:p>
      <w:pPr>
        <w:spacing w:line="520" w:lineRule="exact"/>
        <w:ind w:firstLine="424" w:firstLineChars="202"/>
        <w:rPr>
          <w:rFonts w:ascii="微软雅黑" w:hAnsi="微软雅黑" w:eastAsia="微软雅黑"/>
          <w:sz w:val="21"/>
          <w:szCs w:val="20"/>
          <w:lang w:eastAsia="zh-CN"/>
        </w:rPr>
      </w:pPr>
      <w:r>
        <w:rPr>
          <w:rFonts w:hint="eastAsia" w:ascii="微软雅黑" w:hAnsi="微软雅黑" w:eastAsia="微软雅黑"/>
          <w:sz w:val="21"/>
          <w:szCs w:val="20"/>
          <w:lang w:eastAsia="zh-CN"/>
        </w:rPr>
        <w:t>先进的管理经验告诉我们：安全管理是一个庞大的系统，需要有决策层的</w:t>
      </w:r>
      <w:r>
        <w:rPr>
          <w:rFonts w:ascii="微软雅黑" w:hAnsi="微软雅黑" w:eastAsia="微软雅黑"/>
          <w:sz w:val="21"/>
          <w:szCs w:val="20"/>
          <w:lang w:eastAsia="zh-CN"/>
        </w:rPr>
        <w:t>关注</w:t>
      </w:r>
      <w:r>
        <w:rPr>
          <w:rFonts w:hint="eastAsia" w:ascii="微软雅黑" w:hAnsi="微软雅黑" w:eastAsia="微软雅黑"/>
          <w:sz w:val="21"/>
          <w:szCs w:val="20"/>
          <w:lang w:eastAsia="zh-CN"/>
        </w:rPr>
        <w:t>、管理层的重视、全员参与，树立自上而下的安全优先理念，并进行全过程风险管理，才能真正实现事故控制的目的。</w:t>
      </w:r>
    </w:p>
    <w:p>
      <w:pPr>
        <w:spacing w:line="520" w:lineRule="exact"/>
        <w:ind w:firstLine="424" w:firstLineChars="202"/>
        <w:rPr>
          <w:rFonts w:ascii="微软雅黑" w:hAnsi="微软雅黑" w:eastAsia="微软雅黑"/>
          <w:sz w:val="21"/>
          <w:szCs w:val="20"/>
          <w:lang w:eastAsia="zh-CN"/>
        </w:rPr>
      </w:pPr>
      <w:r>
        <w:rPr>
          <w:rFonts w:hint="eastAsia" w:ascii="微软雅黑" w:hAnsi="微软雅黑" w:eastAsia="微软雅黑"/>
          <w:sz w:val="21"/>
          <w:szCs w:val="20"/>
          <w:lang w:eastAsia="zh-CN"/>
        </w:rPr>
        <w:t>这是一个非常纯粹的课程，将通过大量案例告诉你，建立健全</w:t>
      </w:r>
      <w:r>
        <w:rPr>
          <w:rFonts w:ascii="微软雅黑" w:hAnsi="微软雅黑" w:eastAsia="微软雅黑"/>
          <w:sz w:val="21"/>
          <w:szCs w:val="20"/>
          <w:lang w:eastAsia="zh-CN"/>
        </w:rPr>
        <w:t>安全</w:t>
      </w:r>
      <w:r>
        <w:rPr>
          <w:rFonts w:hint="eastAsia" w:ascii="微软雅黑" w:hAnsi="微软雅黑" w:eastAsia="微软雅黑"/>
          <w:sz w:val="21"/>
          <w:szCs w:val="20"/>
          <w:lang w:eastAsia="zh-CN"/>
        </w:rPr>
        <w:t>责任体系</w:t>
      </w:r>
      <w:r>
        <w:rPr>
          <w:rFonts w:ascii="微软雅黑" w:hAnsi="微软雅黑" w:eastAsia="微软雅黑"/>
          <w:sz w:val="21"/>
          <w:szCs w:val="20"/>
          <w:lang w:eastAsia="zh-CN"/>
        </w:rPr>
        <w:t>的必要性</w:t>
      </w:r>
      <w:r>
        <w:rPr>
          <w:rFonts w:hint="eastAsia" w:ascii="微软雅黑" w:hAnsi="微软雅黑" w:eastAsia="微软雅黑"/>
          <w:sz w:val="21"/>
          <w:szCs w:val="20"/>
          <w:lang w:eastAsia="zh-CN"/>
        </w:rPr>
        <w:t>，并指导</w:t>
      </w:r>
      <w:r>
        <w:rPr>
          <w:rFonts w:ascii="微软雅黑" w:hAnsi="微软雅黑" w:eastAsia="微软雅黑"/>
          <w:sz w:val="21"/>
          <w:szCs w:val="20"/>
          <w:lang w:eastAsia="zh-CN"/>
        </w:rPr>
        <w:t>管理者</w:t>
      </w:r>
      <w:r>
        <w:rPr>
          <w:rFonts w:hint="eastAsia" w:ascii="微软雅黑" w:hAnsi="微软雅黑" w:eastAsia="微软雅黑"/>
          <w:sz w:val="21"/>
          <w:szCs w:val="20"/>
          <w:lang w:eastAsia="zh-CN"/>
        </w:rPr>
        <w:t>掌握必要的风险控制工具，强化日常高效化开展安全管理的能力，将管理体系融入公司的正常运营体系，建立以事故控制为目的的安全管理系统，以构建良好的团队安全文化。</w:t>
      </w:r>
    </w:p>
    <w:p>
      <w:pPr>
        <w:rPr>
          <w:rFonts w:ascii="微软雅黑" w:hAnsi="微软雅黑" w:eastAsia="微软雅黑"/>
          <w:lang w:eastAsia="zh-CN"/>
        </w:rPr>
      </w:pPr>
    </w:p>
    <w:p>
      <w:pPr>
        <w:rPr>
          <w:rFonts w:ascii="微软雅黑" w:hAnsi="微软雅黑" w:eastAsia="微软雅黑"/>
          <w:b/>
          <w:color w:val="767171" w:themeColor="background2" w:themeShade="80"/>
          <w:sz w:val="28"/>
          <w:szCs w:val="32"/>
        </w:rPr>
      </w:pPr>
      <w:r>
        <w:rPr>
          <w:rFonts w:hint="eastAsia" w:ascii="微软雅黑" w:hAnsi="微软雅黑" w:eastAsia="微软雅黑"/>
          <w:b/>
          <w:color w:val="767171" w:themeColor="background2" w:themeShade="80"/>
          <w:sz w:val="28"/>
          <w:szCs w:val="32"/>
        </w:rPr>
        <w:t>课程简介</w:t>
      </w:r>
    </w:p>
    <w:p>
      <w:pPr>
        <w:rPr>
          <w:rFonts w:ascii="微软雅黑" w:hAnsi="微软雅黑" w:eastAsia="微软雅黑"/>
          <w:sz w:val="4"/>
          <w:szCs w:val="4"/>
        </w:rPr>
      </w:pPr>
    </w:p>
    <w:tbl>
      <w:tblPr>
        <w:tblStyle w:val="5"/>
        <w:tblW w:w="10038" w:type="dxa"/>
        <w:jc w:val="center"/>
        <w:tblBorders>
          <w:top w:val="single" w:color="C55911" w:themeColor="accent2" w:themeShade="BF" w:sz="12" w:space="0"/>
          <w:left w:val="none" w:color="auto" w:sz="0" w:space="0"/>
          <w:bottom w:val="single" w:color="C55911" w:themeColor="accent2" w:themeShade="BF" w:sz="12" w:space="0"/>
          <w:right w:val="none" w:color="auto" w:sz="0" w:space="0"/>
          <w:insideH w:val="single" w:color="C55911" w:themeColor="accent2" w:themeShade="BF" w:sz="2" w:space="0"/>
          <w:insideV w:val="single" w:color="C55911" w:themeColor="accent2" w:themeShade="B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7403"/>
      </w:tblGrid>
      <w:tr>
        <w:tblPrEx>
          <w:tblBorders>
            <w:top w:val="single" w:color="C55911" w:themeColor="accent2" w:themeShade="BF" w:sz="12" w:space="0"/>
            <w:left w:val="none" w:color="auto" w:sz="0" w:space="0"/>
            <w:bottom w:val="single" w:color="C55911" w:themeColor="accent2" w:themeShade="BF" w:sz="12" w:space="0"/>
            <w:right w:val="none" w:color="auto" w:sz="0" w:space="0"/>
            <w:insideH w:val="single" w:color="C55911" w:themeColor="accent2" w:themeShade="BF" w:sz="2" w:space="0"/>
            <w:insideV w:val="single" w:color="C55911" w:themeColor="accent2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</w:rPr>
              <w:t>培训对象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中高层管理者等</w:t>
            </w:r>
          </w:p>
        </w:tc>
      </w:tr>
      <w:tr>
        <w:tblPrEx>
          <w:tblBorders>
            <w:top w:val="single" w:color="C55911" w:themeColor="accent2" w:themeShade="BF" w:sz="12" w:space="0"/>
            <w:left w:val="none" w:color="auto" w:sz="0" w:space="0"/>
            <w:bottom w:val="single" w:color="C55911" w:themeColor="accent2" w:themeShade="BF" w:sz="12" w:space="0"/>
            <w:right w:val="none" w:color="auto" w:sz="0" w:space="0"/>
            <w:insideH w:val="single" w:color="C55911" w:themeColor="accent2" w:themeShade="BF" w:sz="2" w:space="0"/>
            <w:insideV w:val="single" w:color="C55911" w:themeColor="accent2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</w:rPr>
              <w:t>授课形式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知识讲授、视频分析、案例展示、角色扮演、培训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游戏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等</w:t>
            </w:r>
          </w:p>
        </w:tc>
      </w:tr>
      <w:tr>
        <w:tblPrEx>
          <w:tblBorders>
            <w:top w:val="single" w:color="C55911" w:themeColor="accent2" w:themeShade="BF" w:sz="12" w:space="0"/>
            <w:left w:val="none" w:color="auto" w:sz="0" w:space="0"/>
            <w:bottom w:val="single" w:color="C55911" w:themeColor="accent2" w:themeShade="BF" w:sz="12" w:space="0"/>
            <w:right w:val="none" w:color="auto" w:sz="0" w:space="0"/>
            <w:insideH w:val="single" w:color="C55911" w:themeColor="accent2" w:themeShade="BF" w:sz="2" w:space="0"/>
            <w:insideV w:val="single" w:color="C55911" w:themeColor="accent2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授课时间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2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022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年3月1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0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-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11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日、1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1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月1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7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-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18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日苏州</w:t>
            </w:r>
          </w:p>
        </w:tc>
      </w:tr>
      <w:tr>
        <w:tblPrEx>
          <w:tblBorders>
            <w:top w:val="single" w:color="C55911" w:themeColor="accent2" w:themeShade="BF" w:sz="12" w:space="0"/>
            <w:left w:val="none" w:color="auto" w:sz="0" w:space="0"/>
            <w:bottom w:val="single" w:color="C55911" w:themeColor="accent2" w:themeShade="BF" w:sz="12" w:space="0"/>
            <w:right w:val="none" w:color="auto" w:sz="0" w:space="0"/>
            <w:insideH w:val="single" w:color="C55911" w:themeColor="accent2" w:themeShade="BF" w:sz="2" w:space="0"/>
            <w:insideV w:val="single" w:color="C55911" w:themeColor="accent2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学习费用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4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800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元/人（含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2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天午餐、培训费、教材费、税费等）</w:t>
            </w:r>
          </w:p>
        </w:tc>
      </w:tr>
      <w:tr>
        <w:tblPrEx>
          <w:tblBorders>
            <w:top w:val="single" w:color="C55911" w:themeColor="accent2" w:themeShade="BF" w:sz="12" w:space="0"/>
            <w:left w:val="none" w:color="auto" w:sz="0" w:space="0"/>
            <w:bottom w:val="single" w:color="C55911" w:themeColor="accent2" w:themeShade="BF" w:sz="12" w:space="0"/>
            <w:right w:val="none" w:color="auto" w:sz="0" w:space="0"/>
            <w:insideH w:val="single" w:color="C55911" w:themeColor="accent2" w:themeShade="BF" w:sz="2" w:space="0"/>
            <w:insideV w:val="single" w:color="C55911" w:themeColor="accent2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渠道合作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小新（1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5306200569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 xml:space="preserve">）｜ 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QQ</w:t>
            </w:r>
            <w:r>
              <w:rPr>
                <w:rFonts w:hint="eastAsia" w:ascii="微软雅黑" w:hAnsi="微软雅黑" w:eastAsia="微软雅黑"/>
                <w:sz w:val="21"/>
                <w:szCs w:val="20"/>
                <w:lang w:eastAsia="zh-CN"/>
              </w:rPr>
              <w:t>:1</w:t>
            </w:r>
            <w:r>
              <w:rPr>
                <w:rFonts w:ascii="微软雅黑" w:hAnsi="微软雅黑" w:eastAsia="微软雅黑"/>
                <w:sz w:val="21"/>
                <w:szCs w:val="20"/>
                <w:lang w:eastAsia="zh-CN"/>
              </w:rPr>
              <w:t>007222911</w:t>
            </w:r>
          </w:p>
        </w:tc>
      </w:tr>
    </w:tbl>
    <w:p>
      <w:pPr>
        <w:rPr>
          <w:rFonts w:ascii="微软雅黑" w:hAnsi="微软雅黑" w:eastAsia="微软雅黑"/>
          <w:color w:val="767171" w:themeColor="background2" w:themeShade="80"/>
          <w:szCs w:val="20"/>
          <w:lang w:eastAsia="zh-CN"/>
        </w:rPr>
      </w:pPr>
    </w:p>
    <w:p>
      <w:pPr>
        <w:tabs>
          <w:tab w:val="left" w:pos="6000"/>
        </w:tabs>
        <w:rPr>
          <w:rFonts w:ascii="微软雅黑" w:hAnsi="微软雅黑" w:eastAsia="微软雅黑"/>
          <w:b/>
          <w:color w:val="767171" w:themeColor="background2" w:themeShade="8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767171" w:themeColor="background2" w:themeShade="80"/>
          <w:sz w:val="28"/>
          <w:szCs w:val="32"/>
        </w:rPr>
        <w:t>课程大纲</w:t>
      </w:r>
      <w:r>
        <w:rPr>
          <w:rFonts w:ascii="微软雅黑" w:hAnsi="微软雅黑" w:eastAsia="微软雅黑"/>
          <w:b/>
          <w:color w:val="767171" w:themeColor="background2" w:themeShade="80"/>
          <w:sz w:val="32"/>
          <w:szCs w:val="32"/>
        </w:rPr>
        <w:tab/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主题一：</w:t>
      </w:r>
      <w:r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  <w:t>安全管理</w:t>
      </w: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责任意识</w:t>
      </w:r>
    </w:p>
    <w:p>
      <w:pPr>
        <w:pStyle w:val="9"/>
        <w:widowControl/>
        <w:numPr>
          <w:ilvl w:val="0"/>
          <w:numId w:val="2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安全</w:t>
      </w:r>
      <w:r>
        <w:rPr>
          <w:rFonts w:ascii="微软雅黑" w:hAnsi="微软雅黑" w:eastAsia="微软雅黑" w:cs="宋体"/>
          <w:kern w:val="0"/>
          <w:szCs w:val="21"/>
        </w:rPr>
        <w:t>管理关乎企业生存问题</w:t>
      </w:r>
    </w:p>
    <w:p>
      <w:pPr>
        <w:pStyle w:val="9"/>
        <w:widowControl/>
        <w:numPr>
          <w:ilvl w:val="0"/>
          <w:numId w:val="2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安全管理的驱动力</w:t>
      </w:r>
      <w:r>
        <w:rPr>
          <w:rFonts w:hint="eastAsia" w:ascii="微软雅黑" w:hAnsi="微软雅黑" w:eastAsia="微软雅黑" w:cs="宋体"/>
          <w:kern w:val="0"/>
          <w:szCs w:val="21"/>
        </w:rPr>
        <w:t>：法律责任、社会责任、内部风险</w:t>
      </w:r>
      <w:r>
        <w:rPr>
          <w:rFonts w:ascii="微软雅黑" w:hAnsi="微软雅黑" w:eastAsia="微软雅黑" w:cs="宋体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</w:rPr>
        <w:t>员工</w:t>
      </w:r>
      <w:r>
        <w:rPr>
          <w:rFonts w:ascii="微软雅黑" w:hAnsi="微软雅黑" w:eastAsia="微软雅黑" w:cs="宋体"/>
          <w:kern w:val="0"/>
          <w:szCs w:val="21"/>
        </w:rPr>
        <w:t>的未来</w:t>
      </w:r>
    </w:p>
    <w:p>
      <w:pPr>
        <w:pStyle w:val="9"/>
        <w:widowControl/>
        <w:spacing w:line="560" w:lineRule="exact"/>
        <w:ind w:left="426" w:firstLine="0" w:firstLineChars="0"/>
        <w:jc w:val="left"/>
        <w:rPr>
          <w:rFonts w:ascii="微软雅黑" w:hAnsi="微软雅黑" w:eastAsia="微软雅黑" w:cs="宋体"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FF0000"/>
          <w:szCs w:val="21"/>
        </w:rPr>
        <w:t>案例：一</w:t>
      </w:r>
      <w:r>
        <w:rPr>
          <w:rFonts w:ascii="微软雅黑" w:hAnsi="微软雅黑" w:eastAsia="微软雅黑" w:cs="宋体"/>
          <w:color w:val="FF0000"/>
          <w:szCs w:val="21"/>
        </w:rPr>
        <w:t>起叉车事故引发的</w:t>
      </w:r>
      <w:r>
        <w:rPr>
          <w:rFonts w:hint="eastAsia" w:ascii="微软雅黑" w:hAnsi="微软雅黑" w:eastAsia="微软雅黑" w:cs="宋体"/>
          <w:color w:val="FF0000"/>
          <w:szCs w:val="21"/>
        </w:rPr>
        <w:t>对管理责任的思考</w:t>
      </w:r>
    </w:p>
    <w:p>
      <w:pPr>
        <w:pStyle w:val="9"/>
        <w:numPr>
          <w:ilvl w:val="0"/>
          <w:numId w:val="3"/>
        </w:numPr>
        <w:spacing w:line="560" w:lineRule="exact"/>
        <w:ind w:firstLine="6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安全生产责任体系常见误区</w:t>
      </w:r>
    </w:p>
    <w:p>
      <w:pPr>
        <w:pStyle w:val="9"/>
        <w:numPr>
          <w:ilvl w:val="0"/>
          <w:numId w:val="3"/>
        </w:numPr>
        <w:spacing w:line="560" w:lineRule="exact"/>
        <w:ind w:firstLine="6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</w:rPr>
        <w:t>国家法定的安全责任制管理要求</w:t>
      </w:r>
    </w:p>
    <w:p>
      <w:pPr>
        <w:pStyle w:val="9"/>
        <w:numPr>
          <w:ilvl w:val="0"/>
          <w:numId w:val="3"/>
        </w:numPr>
        <w:spacing w:line="560" w:lineRule="exact"/>
        <w:ind w:firstLine="6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</w:rPr>
        <w:t>各级管理者的法定职责与履职必要性的逻辑</w:t>
      </w:r>
    </w:p>
    <w:p>
      <w:pPr>
        <w:pStyle w:val="9"/>
        <w:spacing w:line="560" w:lineRule="exact"/>
        <w:ind w:left="426" w:firstLine="0" w:firstLineChars="0"/>
        <w:rPr>
          <w:rFonts w:ascii="微软雅黑" w:hAnsi="微软雅黑" w:eastAsia="微软雅黑" w:cs="宋体"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>案例：杜邦公司、壳牌公司的</w:t>
      </w:r>
      <w:r>
        <w:rPr>
          <w:rFonts w:ascii="微软雅黑" w:hAnsi="微软雅黑" w:eastAsia="微软雅黑" w:cs="宋体"/>
          <w:color w:val="FF0000"/>
          <w:kern w:val="0"/>
          <w:szCs w:val="21"/>
        </w:rPr>
        <w:t>安全</w:t>
      </w: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>管理组织架构</w:t>
      </w:r>
    </w:p>
    <w:p>
      <w:pPr>
        <w:pStyle w:val="9"/>
        <w:numPr>
          <w:ilvl w:val="0"/>
          <w:numId w:val="3"/>
        </w:numPr>
        <w:spacing w:line="560" w:lineRule="exact"/>
        <w:ind w:firstLine="6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安全管理人员的主要职责</w:t>
      </w:r>
    </w:p>
    <w:p>
      <w:pPr>
        <w:pStyle w:val="9"/>
        <w:widowControl/>
        <w:numPr>
          <w:ilvl w:val="0"/>
          <w:numId w:val="3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一起行车安全事故对</w:t>
      </w:r>
      <w:r>
        <w:rPr>
          <w:rFonts w:ascii="微软雅黑" w:hAnsi="微软雅黑" w:eastAsia="微软雅黑" w:cs="宋体"/>
          <w:kern w:val="0"/>
          <w:szCs w:val="21"/>
        </w:rPr>
        <w:t>安全</w:t>
      </w:r>
      <w:r>
        <w:rPr>
          <w:rFonts w:hint="eastAsia" w:ascii="微软雅黑" w:hAnsi="微软雅黑" w:eastAsia="微软雅黑" w:cs="宋体"/>
          <w:kern w:val="0"/>
          <w:szCs w:val="21"/>
        </w:rPr>
        <w:t>体系的思考</w:t>
      </w:r>
    </w:p>
    <w:p>
      <w:pPr>
        <w:pStyle w:val="9"/>
        <w:widowControl/>
        <w:numPr>
          <w:ilvl w:val="0"/>
          <w:numId w:val="3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安全</w:t>
      </w:r>
      <w:r>
        <w:rPr>
          <w:rFonts w:hint="eastAsia" w:ascii="微软雅黑" w:hAnsi="微软雅黑" w:eastAsia="微软雅黑" w:cs="宋体"/>
          <w:kern w:val="0"/>
          <w:szCs w:val="21"/>
        </w:rPr>
        <w:t>管理的核心与风险控制技巧</w:t>
      </w:r>
    </w:p>
    <w:p>
      <w:pPr>
        <w:pStyle w:val="9"/>
        <w:widowControl/>
        <w:numPr>
          <w:ilvl w:val="0"/>
          <w:numId w:val="3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企业典型违法行为、风险与合规管理</w:t>
      </w:r>
    </w:p>
    <w:p>
      <w:pPr>
        <w:pStyle w:val="9"/>
        <w:widowControl/>
        <w:numPr>
          <w:ilvl w:val="0"/>
          <w:numId w:val="3"/>
        </w:numPr>
        <w:spacing w:line="560" w:lineRule="exact"/>
        <w:ind w:firstLine="6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企业管理者安全生产履职要领</w:t>
      </w:r>
    </w:p>
    <w:p>
      <w:pPr>
        <w:pStyle w:val="9"/>
        <w:widowControl/>
        <w:spacing w:line="560" w:lineRule="exact"/>
        <w:ind w:left="426" w:firstLine="0" w:firstLineChars="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主</w:t>
      </w:r>
      <w:r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  <w:t>题</w:t>
      </w: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二：管理者风险系统管控能力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当前事故频发的深层原因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企业安全管理的问题剖析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风险识别与隐患排查的关系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隐患排查属于“事中管理”！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危险因素识别技巧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危险因素的三种表现形式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风险评估的必要性与风险分级的意义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风险评估与管控分级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用“固有风险”确定管控分级，用“现状风险”确定管控措施的强度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对策制定的四个阶段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风险管控措施的有效性与依据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制定对策中合理运用法律法规及标准规范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对策措施描述的五大基本原则</w:t>
      </w:r>
    </w:p>
    <w:p>
      <w:pPr>
        <w:pStyle w:val="9"/>
        <w:numPr>
          <w:ilvl w:val="0"/>
          <w:numId w:val="4"/>
        </w:numPr>
        <w:spacing w:line="560" w:lineRule="exact"/>
        <w:ind w:left="851" w:hanging="425" w:firstLineChars="0"/>
        <w:rPr>
          <w:rFonts w:ascii="微软雅黑" w:hAnsi="微软雅黑" w:eastAsia="微软雅黑"/>
          <w:kern w:val="0"/>
          <w:szCs w:val="20"/>
        </w:rPr>
      </w:pPr>
      <w:r>
        <w:rPr>
          <w:rFonts w:hint="eastAsia" w:ascii="微软雅黑" w:hAnsi="微软雅黑" w:eastAsia="微软雅黑"/>
          <w:kern w:val="0"/>
          <w:szCs w:val="20"/>
        </w:rPr>
        <w:t>企业管理中常见违法行为与法律责任</w:t>
      </w:r>
    </w:p>
    <w:p>
      <w:pPr>
        <w:pStyle w:val="9"/>
        <w:spacing w:line="560" w:lineRule="exact"/>
        <w:ind w:left="851" w:firstLine="0" w:firstLineChars="0"/>
        <w:rPr>
          <w:rFonts w:ascii="微软雅黑" w:hAnsi="微软雅黑" w:eastAsia="微软雅黑"/>
          <w:kern w:val="0"/>
          <w:sz w:val="20"/>
          <w:szCs w:val="20"/>
        </w:rPr>
      </w:pP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主</w:t>
      </w:r>
      <w:r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  <w:t>题</w:t>
      </w: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三：</w:t>
      </w:r>
      <w:r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  <w:t>安全</w:t>
      </w: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领导</w:t>
      </w:r>
      <w:r>
        <w:rPr>
          <w:rFonts w:ascii="微软雅黑" w:hAnsi="微软雅黑" w:eastAsia="微软雅黑" w:cs="宋体"/>
          <w:b/>
          <w:bCs/>
          <w:color w:val="002060"/>
          <w:sz w:val="22"/>
          <w:szCs w:val="24"/>
        </w:rPr>
        <w:t>力提升</w:t>
      </w:r>
      <w:r>
        <w:rPr>
          <w:rFonts w:hint="eastAsia" w:ascii="微软雅黑" w:hAnsi="微软雅黑" w:eastAsia="微软雅黑" w:cs="宋体"/>
          <w:b/>
          <w:bCs/>
          <w:color w:val="002060"/>
          <w:sz w:val="22"/>
          <w:szCs w:val="24"/>
        </w:rPr>
        <w:t>与安全文化建设</w:t>
      </w:r>
    </w:p>
    <w:p>
      <w:pPr>
        <w:pStyle w:val="9"/>
        <w:widowControl/>
        <w:spacing w:line="560" w:lineRule="exact"/>
        <w:ind w:left="851" w:firstLine="0" w:firstLineChars="0"/>
        <w:jc w:val="left"/>
        <w:rPr>
          <w:rFonts w:ascii="微软雅黑" w:hAnsi="微软雅黑" w:eastAsia="微软雅黑" w:cs="宋体"/>
          <w:color w:val="FF0000"/>
          <w:kern w:val="0"/>
          <w:szCs w:val="20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0"/>
        </w:rPr>
        <w:t>案例：违章打磨作业的员工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研讨：管理</w:t>
      </w:r>
      <w:r>
        <w:rPr>
          <w:rFonts w:ascii="微软雅黑" w:hAnsi="微软雅黑" w:eastAsia="微软雅黑" w:cs="宋体"/>
          <w:kern w:val="0"/>
          <w:szCs w:val="20"/>
        </w:rPr>
        <w:t>者在</w:t>
      </w:r>
      <w:r>
        <w:rPr>
          <w:rFonts w:hint="eastAsia" w:ascii="微软雅黑" w:hAnsi="微软雅黑" w:eastAsia="微软雅黑" w:cs="宋体"/>
          <w:kern w:val="0"/>
          <w:szCs w:val="20"/>
        </w:rPr>
        <w:t>安全</w:t>
      </w:r>
      <w:r>
        <w:rPr>
          <w:rFonts w:ascii="微软雅黑" w:hAnsi="微软雅黑" w:eastAsia="微软雅黑" w:cs="宋体"/>
          <w:kern w:val="0"/>
          <w:szCs w:val="20"/>
        </w:rPr>
        <w:t>管理中发挥的作用</w:t>
      </w:r>
      <w:r>
        <w:rPr>
          <w:rFonts w:hint="eastAsia" w:ascii="微软雅黑" w:hAnsi="微软雅黑" w:eastAsia="微软雅黑" w:cs="宋体"/>
          <w:kern w:val="0"/>
          <w:szCs w:val="20"/>
        </w:rPr>
        <w:t>？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管理者的安全行为对员工行为的影响力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行为科学ABC理论</w:t>
      </w:r>
    </w:p>
    <w:p>
      <w:pPr>
        <w:pStyle w:val="9"/>
        <w:widowControl/>
        <w:spacing w:line="560" w:lineRule="exact"/>
        <w:ind w:left="851" w:firstLine="0" w:firstLineChars="0"/>
        <w:jc w:val="left"/>
        <w:rPr>
          <w:rFonts w:ascii="微软雅黑" w:hAnsi="微软雅黑" w:eastAsia="微软雅黑" w:cs="宋体"/>
          <w:color w:val="FF0000"/>
          <w:kern w:val="0"/>
          <w:szCs w:val="20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0"/>
        </w:rPr>
        <w:t>案例：行</w:t>
      </w:r>
      <w:r>
        <w:rPr>
          <w:rFonts w:ascii="微软雅黑" w:hAnsi="微软雅黑" w:eastAsia="微软雅黑" w:cs="宋体"/>
          <w:color w:val="FF0000"/>
          <w:kern w:val="0"/>
          <w:szCs w:val="20"/>
        </w:rPr>
        <w:t>为学基础运</w:t>
      </w:r>
      <w:r>
        <w:rPr>
          <w:rFonts w:hint="eastAsia" w:ascii="微软雅黑" w:hAnsi="微软雅黑" w:eastAsia="微软雅黑" w:cs="宋体"/>
          <w:color w:val="FF0000"/>
          <w:kern w:val="0"/>
          <w:szCs w:val="20"/>
        </w:rPr>
        <w:t>用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如何</w:t>
      </w:r>
      <w:r>
        <w:rPr>
          <w:rFonts w:ascii="微软雅黑" w:hAnsi="微软雅黑" w:eastAsia="微软雅黑" w:cs="宋体"/>
          <w:kern w:val="0"/>
          <w:szCs w:val="20"/>
        </w:rPr>
        <w:t>提升</w:t>
      </w:r>
      <w:r>
        <w:rPr>
          <w:rFonts w:hint="eastAsia" w:ascii="微软雅黑" w:hAnsi="微软雅黑" w:eastAsia="微软雅黑" w:cs="宋体"/>
          <w:kern w:val="0"/>
          <w:szCs w:val="20"/>
        </w:rPr>
        <w:t>安全</w:t>
      </w:r>
      <w:r>
        <w:rPr>
          <w:rFonts w:ascii="微软雅黑" w:hAnsi="微软雅黑" w:eastAsia="微软雅黑" w:cs="宋体"/>
          <w:kern w:val="0"/>
          <w:szCs w:val="20"/>
        </w:rPr>
        <w:t>领导力</w:t>
      </w:r>
      <w:r>
        <w:rPr>
          <w:rFonts w:hint="eastAsia" w:ascii="微软雅黑" w:hAnsi="微软雅黑" w:eastAsia="微软雅黑" w:cs="宋体"/>
          <w:kern w:val="0"/>
          <w:szCs w:val="20"/>
        </w:rPr>
        <w:t>与影响力，主动参与安全管理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ascii="微软雅黑" w:hAnsi="微软雅黑" w:eastAsia="微软雅黑" w:cs="宋体"/>
          <w:kern w:val="0"/>
          <w:szCs w:val="20"/>
        </w:rPr>
        <w:t>文化的定义认知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安全意识与安全行为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ascii="微软雅黑" w:hAnsi="微软雅黑" w:eastAsia="微软雅黑" w:cs="宋体"/>
          <w:kern w:val="0"/>
          <w:szCs w:val="20"/>
        </w:rPr>
        <w:t>管理者</w:t>
      </w:r>
      <w:r>
        <w:rPr>
          <w:rFonts w:hint="eastAsia" w:ascii="微软雅黑" w:hAnsi="微软雅黑" w:eastAsia="微软雅黑" w:cs="宋体"/>
          <w:kern w:val="0"/>
          <w:szCs w:val="20"/>
        </w:rPr>
        <w:t>对安全文化形成的作用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kern w:val="0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安全管理氛围塑造个人价值观</w:t>
      </w:r>
    </w:p>
    <w:p>
      <w:pPr>
        <w:pStyle w:val="9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微软雅黑" w:hAnsi="微软雅黑" w:eastAsia="微软雅黑" w:cs="宋体"/>
          <w:b/>
          <w:bCs/>
          <w:sz w:val="22"/>
          <w:szCs w:val="20"/>
        </w:rPr>
      </w:pPr>
      <w:r>
        <w:rPr>
          <w:rFonts w:hint="eastAsia" w:ascii="微软雅黑" w:hAnsi="微软雅黑" w:eastAsia="微软雅黑" w:cs="宋体"/>
          <w:kern w:val="0"/>
          <w:szCs w:val="20"/>
        </w:rPr>
        <w:t>管理者如何营造安全文</w:t>
      </w:r>
      <w:r>
        <w:rPr>
          <w:rFonts w:ascii="微软雅黑" w:hAnsi="微软雅黑" w:eastAsia="微软雅黑" w:cs="宋体"/>
          <w:kern w:val="0"/>
          <w:szCs w:val="20"/>
        </w:rPr>
        <w:t>化</w:t>
      </w:r>
    </w:p>
    <w:p>
      <w:pPr>
        <w:tabs>
          <w:tab w:val="left" w:pos="6000"/>
        </w:tabs>
        <w:rPr>
          <w:rFonts w:ascii="微软雅黑" w:hAnsi="微软雅黑" w:eastAsia="微软雅黑"/>
          <w:color w:val="767171" w:themeColor="background2" w:themeShade="80"/>
          <w:sz w:val="32"/>
          <w:szCs w:val="32"/>
          <w:lang w:eastAsia="zh-CN"/>
        </w:rPr>
      </w:pPr>
    </w:p>
    <w:p>
      <w:pPr>
        <w:tabs>
          <w:tab w:val="left" w:pos="6000"/>
        </w:tabs>
        <w:rPr>
          <w:rFonts w:ascii="微软雅黑" w:hAnsi="微软雅黑" w:eastAsia="微软雅黑"/>
          <w:b/>
          <w:color w:val="767171" w:themeColor="background2" w:themeShade="8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767171" w:themeColor="background2" w:themeShade="80"/>
          <w:sz w:val="28"/>
          <w:szCs w:val="32"/>
          <w:lang w:eastAsia="zh-CN"/>
        </w:rPr>
        <w:t>老师简介</w:t>
      </w:r>
      <w:r>
        <w:rPr>
          <w:rFonts w:ascii="微软雅黑" w:hAnsi="微软雅黑" w:eastAsia="微软雅黑"/>
          <w:b/>
          <w:color w:val="767171" w:themeColor="background2" w:themeShade="80"/>
          <w:sz w:val="32"/>
          <w:szCs w:val="32"/>
        </w:rPr>
        <w:tab/>
      </w:r>
    </w:p>
    <w:p>
      <w:pPr>
        <w:spacing w:line="440" w:lineRule="exact"/>
        <w:rPr>
          <w:rFonts w:ascii="微软雅黑" w:hAnsi="微软雅黑" w:eastAsia="微软雅黑" w:cs="Arial Unicode MS"/>
          <w:b/>
          <w:bCs/>
          <w:color w:val="44546A" w:themeColor="text2"/>
          <w:sz w:val="24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Arial Unicode MS"/>
          <w:b/>
          <w:bCs/>
          <w:color w:val="0070C0"/>
          <w:sz w:val="24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167640</wp:posOffset>
            </wp:positionV>
            <wp:extent cx="1314450" cy="1858645"/>
            <wp:effectExtent l="0" t="0" r="0" b="8255"/>
            <wp:wrapSquare wrapText="bothSides"/>
            <wp:docPr id="11" name="图片 11" descr="陈秀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陈秀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4" t="5492" r="6071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 Unicode MS"/>
          <w:b/>
          <w:bCs/>
          <w:color w:val="44546A" w:themeColor="text2"/>
          <w:sz w:val="24"/>
          <w:szCs w:val="32"/>
          <w14:textFill>
            <w14:solidFill>
              <w14:schemeClr w14:val="tx2"/>
            </w14:solidFill>
          </w14:textFill>
        </w:rPr>
        <w:t>陈秀明老师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hint="eastAsia" w:ascii="微软雅黑" w:hAnsi="微软雅黑" w:eastAsia="微软雅黑" w:cs="Arial Unicode MS"/>
          <w:color w:val="000000"/>
          <w:szCs w:val="21"/>
        </w:rPr>
        <w:t>EHS安全研发中心 首席顾问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hint="eastAsia" w:ascii="微软雅黑" w:hAnsi="微软雅黑" w:eastAsia="微软雅黑" w:cs="Arial Unicode MS"/>
          <w:color w:val="000000"/>
          <w:szCs w:val="21"/>
        </w:rPr>
        <w:t>多项安全环境管理工具独家研发者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hint="eastAsia" w:ascii="微软雅黑" w:hAnsi="微软雅黑" w:eastAsia="微软雅黑" w:cs="Arial Unicode MS"/>
          <w:color w:val="000000"/>
          <w:szCs w:val="21"/>
        </w:rPr>
        <w:t>危险源系统控制技术研发人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hint="eastAsia" w:ascii="微软雅黑" w:hAnsi="微软雅黑" w:eastAsia="微软雅黑" w:cs="Arial Unicode MS"/>
          <w:color w:val="000000"/>
          <w:szCs w:val="21"/>
        </w:rPr>
        <w:t>安全管理体系“五基”构建法设计人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ascii="微软雅黑" w:hAnsi="微软雅黑" w:eastAsia="微软雅黑" w:cs="Arial Unicode MS"/>
          <w:color w:val="000000"/>
          <w:szCs w:val="21"/>
        </w:rPr>
        <w:t>国家注册安全工程师</w:t>
      </w:r>
      <w:r>
        <w:rPr>
          <w:rFonts w:hint="eastAsia" w:ascii="微软雅黑" w:hAnsi="微软雅黑" w:eastAsia="微软雅黑" w:cs="Arial Unicode MS"/>
          <w:color w:val="000000"/>
          <w:szCs w:val="21"/>
        </w:rPr>
        <w:t>、企业培训师</w:t>
      </w:r>
    </w:p>
    <w:p>
      <w:pPr>
        <w:pStyle w:val="9"/>
        <w:numPr>
          <w:ilvl w:val="0"/>
          <w:numId w:val="6"/>
        </w:numPr>
        <w:spacing w:line="460" w:lineRule="exact"/>
        <w:ind w:right="420" w:firstLineChars="0"/>
        <w:rPr>
          <w:rFonts w:ascii="微软雅黑" w:hAnsi="微软雅黑" w:eastAsia="微软雅黑" w:cs="Arial Unicode MS"/>
          <w:color w:val="000000"/>
          <w:szCs w:val="21"/>
        </w:rPr>
      </w:pPr>
      <w:r>
        <w:rPr>
          <w:rFonts w:hint="eastAsia" w:ascii="微软雅黑" w:hAnsi="微软雅黑" w:eastAsia="微软雅黑" w:cs="Arial Unicode MS"/>
          <w:color w:val="000000"/>
          <w:szCs w:val="21"/>
        </w:rPr>
        <w:t>长期受聘于某供应链管理公司及某传动科技公司担任管理顾问</w:t>
      </w: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hd w:val="pct10" w:color="auto" w:fill="FFFFFF"/>
          <w:lang w:eastAsia="zh-CN"/>
        </w:rPr>
      </w:pP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  <w:t>讲师背景</w:t>
      </w:r>
    </w:p>
    <w:p>
      <w:pPr>
        <w:spacing w:line="460" w:lineRule="exact"/>
        <w:ind w:right="420" w:firstLine="420" w:firstLineChars="20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陈老师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曾就职于三星、APP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、金龙客车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等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知名企业，长期从事精益生产与安全工作，并多次赴日本交流、研修。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在企业工作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期间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，多次参与班组标准化建设、精益生产导入、风险指标管理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、EHS体系建设等重大项目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并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参加类似AON等知名跨国保险经纪公司的安全交流及风险指标管理活动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积累了丰富的管理经验。</w:t>
      </w:r>
    </w:p>
    <w:p>
      <w:pPr>
        <w:spacing w:line="460" w:lineRule="exact"/>
        <w:ind w:right="420" w:firstLine="420" w:firstLineChars="20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陈老师成功运作的咨询项目包括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双本质安全管理体系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EHS培训体系构建、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安全生产标准化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、职业健康安全管理及环境管理（EHS）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体系、上锁挂牌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（LOTO）项目、施工安全管理标准化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等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。</w:t>
      </w:r>
    </w:p>
    <w:p>
      <w:pPr>
        <w:spacing w:line="460" w:lineRule="exact"/>
        <w:ind w:right="420" w:firstLine="400" w:firstLineChars="200"/>
        <w:rPr>
          <w:rFonts w:ascii="微软雅黑" w:hAnsi="微软雅黑" w:eastAsia="微软雅黑" w:cs="Arial Unicode MS"/>
          <w:color w:val="000000"/>
          <w:szCs w:val="21"/>
          <w:lang w:eastAsia="zh-CN"/>
        </w:rPr>
      </w:pP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  <w:t>培训体系与培训理念</w:t>
      </w:r>
    </w:p>
    <w:p>
      <w:pPr>
        <w:spacing w:line="460" w:lineRule="exact"/>
        <w:ind w:right="420" w:firstLine="420" w:firstLineChars="20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长期以来，陈老师专注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工厂安全环境（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HSE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）管理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的课程与咨询体系研发，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借鉴跨国公司的成功经验，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将管理理论和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丰富的实践经验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相结合，提出了危险源的系统治理技术、工厂双本质安全管理体系建立等理论，形成了系统、先进、实践性强的课程体系，具体包括：EHS经理人核心技能训练、基于事故控制的双本质安全管理体系建立、危险源系统治理技术、体验式5S与目视化管理体系建立等。</w:t>
      </w:r>
    </w:p>
    <w:p>
      <w:pPr>
        <w:spacing w:line="460" w:lineRule="exact"/>
        <w:ind w:right="420" w:firstLine="420" w:firstLineChars="20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陈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老师在培训中，注重培训效果，理论联系实际，并结合成人教育的特点，注重学员的参与，采用案例分析、角色扮演、情境游戏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、现场操练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等交互式、启发式教学，深入浅出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。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并在课程上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为学员提供大量实用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简便的管理工具，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确保课程具备良好的实践性，让学员学为所用，学有所用。</w:t>
      </w: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</w:p>
    <w:p>
      <w:pPr>
        <w:spacing w:line="460" w:lineRule="exact"/>
        <w:rPr>
          <w:rFonts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color w:val="002060"/>
          <w:sz w:val="22"/>
          <w:shd w:val="pct10" w:color="auto" w:fill="FFFFFF"/>
          <w:lang w:eastAsia="zh-CN"/>
        </w:rPr>
        <w:t>服务客户</w:t>
      </w: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  <w:t>央企/国企</w:t>
      </w: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新建元商旅、国际科技园、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国家电网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昆山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供电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、南京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供电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南平电业、龙岩电业、孟津供电、建阳供电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）、南方电网（钦州电力）、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南京远能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电力工程公司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北车集团、南车株机公司、普镇海泰制动设备、国电集团（丰城发电、英特力化工）、北汽集团、昆山造币纸厂、武汉铁路局工务段、上汽赛科利模具、岩峰伟世通、中国石化润滑油公司、中储粮油脂、上海烟草物流、云南红云红河烟草、苏钢集团、中煤集团、苏州创元集团、神华煤矿集团、神火煤矿、上海柴油机、上海焦化集团、申立金属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……</w:t>
      </w:r>
    </w:p>
    <w:p>
      <w:pPr>
        <w:spacing w:line="460" w:lineRule="exact"/>
        <w:ind w:right="420"/>
        <w:rPr>
          <w:rFonts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</w:pP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  <w:t>外企/合资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：一汽丰田汽车、东风悦达起亚汽车、长安福特马自达发动机、长安铃木汽车、观致汽车、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大连固特异轮胎、米其林轮胎、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上海大众联合、万象汽车、沃尔沃建筑机械、现代海克斯、苏州佳能、通力电梯、日立电梯、安利马赫垂直设备、贺立氏集团、大金空调、高田汽配、太仓舍弗勒、博泽汽车汽车零部件、延锋伟世通、天津电装电子、塔塔汽车零部件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佛吉亚座椅部件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、德科斯米尔汽车部件、宾科汽车紧固件、魏德米勒紧固件、英纳法天窗系统、霓达摩尔传动科技、久保田农用机械、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罗斯蒂精密制造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SEW电机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、国际香精香料、爱茉莉化妆品、康宝莱保健品、好丽友食乐食品、礼来制药、赛诺菲制药、TOTO、骊住洁具（伊奈）、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NGK环保陶瓷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耐普罗机械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、博西威电器、艾利标签、福斯流体设备、斯凯孚轴承、萨维奥纺织机械、朗盛化工、先正达生物制品、康龙纺织、斯科茨曼制冷系统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……</w:t>
      </w:r>
    </w:p>
    <w:p>
      <w:pPr>
        <w:spacing w:line="460" w:lineRule="exact"/>
        <w:ind w:right="420"/>
        <w:rPr>
          <w:rFonts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</w:pP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  <w:t xml:space="preserve">民   </w:t>
      </w:r>
      <w:r>
        <w:rPr>
          <w:rFonts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u w:val="single"/>
          <w:lang w:eastAsia="zh-CN"/>
        </w:rPr>
        <w:t>企</w:t>
      </w:r>
      <w:r>
        <w:rPr>
          <w:rFonts w:hint="eastAsia" w:ascii="微软雅黑" w:hAnsi="微软雅黑" w:eastAsia="微软雅黑" w:cs="Arial Unicode MS"/>
          <w:b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Arial Unicode MS"/>
          <w:color w:val="000000"/>
          <w:sz w:val="21"/>
          <w:szCs w:val="21"/>
          <w:lang w:eastAsia="zh-CN"/>
        </w:rPr>
        <w:t>重庆美的、赛轮轮胎、金宇轮胎、和平轮胎、康力电梯、保利协鑫新能源、大亚集团、凯伦特纸业、瑞星化工、歌儿股份、盛虹集团、恒立化纤、汇川集团、路达集团、天加空调、浙江华邦特纸、维达纸业、创馨化妆品、烟台亚通集团、济南力诺集团、航嘉驰源电气、锦华宠物食品、纽威阀门、横店集团联宜电机、扬子江新材料、江苏银河电子、张家港富瑞特装、山东和实集团、苏州方林科技、恒源机械、冀东水泥、博洋化学品、八方电机、宝馨科技、皇家整体住宅系统、赛发过滤科技、天马医药、苏州轴承厂、华源包装、科斯伍德油墨</w:t>
      </w:r>
      <w:r>
        <w:rPr>
          <w:rFonts w:ascii="微软雅黑" w:hAnsi="微软雅黑" w:eastAsia="微软雅黑" w:cs="Arial Unicode MS"/>
          <w:color w:val="000000"/>
          <w:sz w:val="21"/>
          <w:szCs w:val="21"/>
          <w:lang w:eastAsia="zh-CN"/>
        </w:rPr>
        <w:t>…</w:t>
      </w: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Cs w:val="21"/>
          <w:lang w:eastAsia="zh-CN"/>
        </w:rPr>
      </w:pP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Cs w:val="21"/>
          <w:lang w:eastAsia="zh-CN"/>
        </w:rPr>
      </w:pPr>
    </w:p>
    <w:p>
      <w:pPr>
        <w:spacing w:line="460" w:lineRule="exact"/>
        <w:ind w:right="420"/>
        <w:rPr>
          <w:rFonts w:ascii="微软雅黑" w:hAnsi="微软雅黑" w:eastAsia="微软雅黑" w:cs="Arial Unicode MS"/>
          <w:color w:val="000000"/>
          <w:szCs w:val="21"/>
          <w:lang w:eastAsia="zh-CN"/>
        </w:rPr>
      </w:pPr>
    </w:p>
    <w:p>
      <w:pPr>
        <w:ind w:firstLine="400" w:firstLineChars="200"/>
        <w:rPr>
          <w:lang w:eastAsia="zh-CN"/>
        </w:rPr>
      </w:pPr>
    </w:p>
    <w:p>
      <w:pPr>
        <w:ind w:firstLine="400" w:firstLineChars="200"/>
        <w:rPr>
          <w:lang w:eastAsia="zh-CN"/>
        </w:rPr>
      </w:pPr>
    </w:p>
    <w:p>
      <w:pPr>
        <w:ind w:firstLine="400" w:firstLineChars="200"/>
        <w:rPr>
          <w:lang w:eastAsia="zh-CN"/>
        </w:rPr>
      </w:pPr>
    </w:p>
    <w:p>
      <w:pPr>
        <w:ind w:firstLine="400" w:firstLineChars="200"/>
        <w:rPr>
          <w:lang w:eastAsia="zh-CN"/>
        </w:rPr>
      </w:pPr>
    </w:p>
    <w:p>
      <w:pPr>
        <w:ind w:firstLine="400" w:firstLineChars="200"/>
        <w:rPr>
          <w:lang w:eastAsia="zh-CN"/>
        </w:rPr>
      </w:pPr>
    </w:p>
    <w:p>
      <w:pPr>
        <w:rPr>
          <w:lang w:eastAsia="zh-CN"/>
        </w:rPr>
      </w:pPr>
    </w:p>
    <w:sectPr>
      <w:headerReference r:id="rId3" w:type="default"/>
      <w:pgSz w:w="11906" w:h="16838"/>
      <w:pgMar w:top="1440" w:right="737" w:bottom="144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675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C4E27"/>
    <w:multiLevelType w:val="multilevel"/>
    <w:tmpl w:val="16CC4E27"/>
    <w:lvl w:ilvl="0" w:tentative="0">
      <w:start w:val="1"/>
      <w:numFmt w:val="bullet"/>
      <w:lvlText w:val="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F3029CD"/>
    <w:multiLevelType w:val="multilevel"/>
    <w:tmpl w:val="1F3029CD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F0A0B"/>
    <w:multiLevelType w:val="multilevel"/>
    <w:tmpl w:val="38CF0A0B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EB5AD2"/>
    <w:multiLevelType w:val="multilevel"/>
    <w:tmpl w:val="51EB5AD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7FB5F07"/>
    <w:multiLevelType w:val="multilevel"/>
    <w:tmpl w:val="67FB5F07"/>
    <w:lvl w:ilvl="0" w:tentative="0">
      <w:start w:val="1"/>
      <w:numFmt w:val="lowerLetter"/>
      <w:lvlText w:val="%1)"/>
      <w:lvlJc w:val="left"/>
      <w:pPr>
        <w:ind w:left="851" w:hanging="420"/>
      </w:pPr>
    </w:lvl>
    <w:lvl w:ilvl="1" w:tentative="0">
      <w:start w:val="1"/>
      <w:numFmt w:val="lowerLetter"/>
      <w:lvlText w:val="%2)"/>
      <w:lvlJc w:val="left"/>
      <w:pPr>
        <w:ind w:left="1271" w:hanging="420"/>
      </w:pPr>
    </w:lvl>
    <w:lvl w:ilvl="2" w:tentative="0">
      <w:start w:val="1"/>
      <w:numFmt w:val="lowerRoman"/>
      <w:lvlText w:val="%3."/>
      <w:lvlJc w:val="right"/>
      <w:pPr>
        <w:ind w:left="1691" w:hanging="420"/>
      </w:pPr>
    </w:lvl>
    <w:lvl w:ilvl="3" w:tentative="0">
      <w:start w:val="1"/>
      <w:numFmt w:val="decimal"/>
      <w:lvlText w:val="%4."/>
      <w:lvlJc w:val="left"/>
      <w:pPr>
        <w:ind w:left="2111" w:hanging="420"/>
      </w:pPr>
    </w:lvl>
    <w:lvl w:ilvl="4" w:tentative="0">
      <w:start w:val="1"/>
      <w:numFmt w:val="lowerLetter"/>
      <w:lvlText w:val="%5)"/>
      <w:lvlJc w:val="left"/>
      <w:pPr>
        <w:ind w:left="2531" w:hanging="420"/>
      </w:pPr>
    </w:lvl>
    <w:lvl w:ilvl="5" w:tentative="0">
      <w:start w:val="1"/>
      <w:numFmt w:val="lowerRoman"/>
      <w:lvlText w:val="%6."/>
      <w:lvlJc w:val="right"/>
      <w:pPr>
        <w:ind w:left="2951" w:hanging="420"/>
      </w:pPr>
    </w:lvl>
    <w:lvl w:ilvl="6" w:tentative="0">
      <w:start w:val="1"/>
      <w:numFmt w:val="decimal"/>
      <w:lvlText w:val="%7."/>
      <w:lvlJc w:val="left"/>
      <w:pPr>
        <w:ind w:left="3371" w:hanging="420"/>
      </w:pPr>
    </w:lvl>
    <w:lvl w:ilvl="7" w:tentative="0">
      <w:start w:val="1"/>
      <w:numFmt w:val="lowerLetter"/>
      <w:lvlText w:val="%8)"/>
      <w:lvlJc w:val="left"/>
      <w:pPr>
        <w:ind w:left="3791" w:hanging="420"/>
      </w:pPr>
    </w:lvl>
    <w:lvl w:ilvl="8" w:tentative="0">
      <w:start w:val="1"/>
      <w:numFmt w:val="lowerRoman"/>
      <w:lvlText w:val="%9."/>
      <w:lvlJc w:val="right"/>
      <w:pPr>
        <w:ind w:left="4211" w:hanging="420"/>
      </w:pPr>
    </w:lvl>
  </w:abstractNum>
  <w:abstractNum w:abstractNumId="5">
    <w:nsid w:val="718552FF"/>
    <w:multiLevelType w:val="multilevel"/>
    <w:tmpl w:val="718552FF"/>
    <w:lvl w:ilvl="0" w:tentative="0">
      <w:start w:val="1"/>
      <w:numFmt w:val="lowerLetter"/>
      <w:lvlText w:val="%1)"/>
      <w:lvlJc w:val="left"/>
      <w:pPr>
        <w:ind w:left="1680" w:hanging="420"/>
      </w:pPr>
      <w:rPr>
        <w:rFonts w:hint="default"/>
        <w:color w:val="auto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8"/>
    <w:rsid w:val="00094C3E"/>
    <w:rsid w:val="001E7458"/>
    <w:rsid w:val="001F7ACB"/>
    <w:rsid w:val="00205CED"/>
    <w:rsid w:val="002C087C"/>
    <w:rsid w:val="0035119E"/>
    <w:rsid w:val="00370500"/>
    <w:rsid w:val="003909AA"/>
    <w:rsid w:val="004427DA"/>
    <w:rsid w:val="006E55A0"/>
    <w:rsid w:val="00781AFB"/>
    <w:rsid w:val="007E1D9A"/>
    <w:rsid w:val="00863636"/>
    <w:rsid w:val="00915983"/>
    <w:rsid w:val="00925AA5"/>
    <w:rsid w:val="009451E6"/>
    <w:rsid w:val="009A27BE"/>
    <w:rsid w:val="009C7E70"/>
    <w:rsid w:val="00AB7FCA"/>
    <w:rsid w:val="00BA4543"/>
    <w:rsid w:val="00BA53F7"/>
    <w:rsid w:val="00C16321"/>
    <w:rsid w:val="00C90E97"/>
    <w:rsid w:val="00CD198E"/>
    <w:rsid w:val="00D0766D"/>
    <w:rsid w:val="00D22B73"/>
    <w:rsid w:val="00E134F4"/>
    <w:rsid w:val="00E32E12"/>
    <w:rsid w:val="00EB3528"/>
    <w:rsid w:val="00ED43C0"/>
    <w:rsid w:val="00EF568F"/>
    <w:rsid w:val="00FC757F"/>
    <w:rsid w:val="18C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kern w:val="0"/>
      <w:sz w:val="20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widowControl w:val="0"/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0">
    <w:name w:val="列出段落 字符"/>
    <w:link w:val="9"/>
    <w:uiPriority w:val="99"/>
  </w:style>
  <w:style w:type="paragraph" w:customStyle="1" w:styleId="11">
    <w:name w:val="Organization"/>
    <w:basedOn w:val="1"/>
    <w:qFormat/>
    <w:uiPriority w:val="1"/>
    <w:pPr>
      <w:spacing w:line="600" w:lineRule="exact"/>
    </w:pPr>
    <w:rPr>
      <w:rFonts w:asciiTheme="majorHAnsi" w:hAnsiTheme="majorHAnsi"/>
      <w:color w:val="FFFFFF" w:themeColor="background1"/>
      <w:sz w:val="56"/>
      <w:szCs w:val="36"/>
      <w:lang w:eastAsia="zh-CN"/>
      <w14:textFill>
        <w14:solidFill>
          <w14:schemeClr w14:val="bg1"/>
        </w14:solidFill>
      </w14:textFill>
    </w:r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color w:val="000000" w:themeColor="text1"/>
      <w:kern w:val="0"/>
      <w:sz w:val="20"/>
      <w:szCs w:val="20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5</Pages>
  <Words>392</Words>
  <Characters>2240</Characters>
  <Lines>18</Lines>
  <Paragraphs>5</Paragraphs>
  <TotalTime>16</TotalTime>
  <ScaleCrop>false</ScaleCrop>
  <LinksUpToDate>false</LinksUpToDate>
  <CharactersWithSpaces>2627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2021-12-08T01:39:00Z</dcterms:created>
  <dc:creator>Administrator</dc:creator>
  <cp:lastModifiedBy>Administrator</cp:lastModifiedBy>
  <dcterms:modified xsi:type="dcterms:W3CDTF">2022-02-11T02:02:36Z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0BD208E3AF6A48BF907BA16AF513F382</vt:lpwstr>
  </property>
</Properties>
</file>