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-408940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5.35pt;margin-top:-32.2pt;height:31.2pt;width:65.7pt;z-index:251659264;mso-width-relative:page;mso-height-relative:page;" filled="f" stroked="f" coordsize="21600,21600" o:gfxdata="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3yptdoAAAAJ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股权方案落地</w: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《股权设计与股权激励实操落地》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left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（第二十期）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方永飞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  <w:lang w:val="zh-CN"/>
        </w:rPr>
        <w:t>共创会创始人、会长；光华-共创会EMBA教学长；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  <w:lang w:val="zh-CN" w:eastAsia="zh-CN"/>
        </w:rPr>
        <w:t>BLM科学经营™首席专家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总裁、老板、总经理、高层、财务高管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学习年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卡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60</w:t>
      </w:r>
    </w:p>
    <w:p>
      <w:pPr>
        <w:numPr>
          <w:ilvl w:val="0"/>
          <w:numId w:val="0"/>
        </w:numPr>
        <w:tabs>
          <w:tab w:val="left" w:pos="231"/>
        </w:tabs>
        <w:spacing w:line="240" w:lineRule="auto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pStyle w:val="46"/>
        <w:ind w:firstLine="0" w:firstLineChars="0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为什么要听股权课程？</w:t>
      </w:r>
    </w:p>
    <w:p>
      <w:pPr>
        <w:shd w:val="clear" w:color="auto" w:fill="FFFFFF"/>
        <w:spacing w:line="48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中国企业发展三道生死牌</w:t>
      </w:r>
    </w:p>
    <w:p>
      <w:pPr>
        <w:numPr>
          <w:ilvl w:val="0"/>
          <w:numId w:val="4"/>
        </w:numPr>
        <w:shd w:val="clear" w:color="auto" w:fill="FFFFFF"/>
        <w:spacing w:line="48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效率低下</w:t>
      </w:r>
    </w:p>
    <w:p>
      <w:pPr>
        <w:shd w:val="clear" w:color="auto" w:fill="FFFFFF"/>
        <w:spacing w:line="48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雍员定律、竞低文化、另损法则，压在企业的三大山，拉低企业效率，降低企业利润</w:t>
      </w:r>
    </w:p>
    <w:p>
      <w:pPr>
        <w:numPr>
          <w:ilvl w:val="0"/>
          <w:numId w:val="4"/>
        </w:numPr>
        <w:shd w:val="clear" w:color="auto" w:fill="FFFFFF"/>
        <w:spacing w:line="48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管理误区</w:t>
      </w:r>
    </w:p>
    <w:p>
      <w:pPr>
        <w:shd w:val="clear" w:color="auto" w:fill="FFFFFF"/>
        <w:spacing w:line="48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管理无解，起点在哪里？出路在何方？</w:t>
      </w:r>
    </w:p>
    <w:p>
      <w:pPr>
        <w:numPr>
          <w:ilvl w:val="0"/>
          <w:numId w:val="4"/>
        </w:numPr>
        <w:shd w:val="clear" w:color="auto" w:fill="FFFFFF"/>
        <w:spacing w:line="48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发展瓶颈</w:t>
      </w:r>
    </w:p>
    <w:p>
      <w:pPr>
        <w:shd w:val="clear" w:color="auto" w:fill="FFFFFF"/>
        <w:spacing w:line="48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开十个店赚钱，20个店保本，30个店就亏钱</w:t>
      </w:r>
    </w:p>
    <w:p>
      <w:pPr>
        <w:shd w:val="clear" w:color="auto" w:fill="FFFFFF"/>
        <w:spacing w:line="480" w:lineRule="atLeast"/>
        <w:ind w:firstLine="420" w:firstLineChars="200"/>
        <w:rPr>
          <w:rFonts w:hint="eastAsia" w:ascii="宋体" w:hAnsi="宋体" w:cs="宋体"/>
          <w:szCs w:val="21"/>
        </w:rPr>
      </w:pPr>
    </w:p>
    <w:p>
      <w:pPr>
        <w:pStyle w:val="46"/>
        <w:ind w:firstLine="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引言</w:t>
      </w: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当你想给公司导入股权激励，不知：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什么时候分，分给谁，分多少，怎么办？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合伙创业已经成为成功企业标配，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如何用股权引进牛人，并进行合理的股权分配？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股权作为企业原生性的底层能量，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如何利用股权为公司和员工赋能？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股权设计要规避的十大陷阱，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你中招了吗？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如何像任正非一样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在不控股的情况下，控制公司？</w:t>
      </w:r>
    </w:p>
    <w:p>
      <w:pPr>
        <w:pStyle w:val="46"/>
        <w:rPr>
          <w:rFonts w:hint="eastAsia" w:ascii="宋体" w:hAnsi="宋体" w:cs="宋体"/>
          <w:color w:val="000000"/>
          <w:szCs w:val="21"/>
        </w:rPr>
      </w:pPr>
    </w:p>
    <w:p>
      <w:pPr>
        <w:pStyle w:val="46"/>
        <w:numPr>
          <w:ilvl w:val="0"/>
          <w:numId w:val="5"/>
        </w:numPr>
        <w:ind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不舍得用现有的资金去激励员工？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szCs w:val="21"/>
        </w:rPr>
        <w:t>花式期权教你如何用明天的钱激励今天的员工，助力企业倍速发展。</w:t>
      </w:r>
    </w:p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1312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shd w:val="clear" w:color="auto" w:fill="FFFFFF"/>
        <w:spacing w:line="480" w:lineRule="atLeast"/>
        <w:rPr>
          <w:rFonts w:hint="eastAsia"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8"/>
          <w:szCs w:val="28"/>
        </w:rPr>
        <w:t>一、开放的力量</w:t>
      </w:r>
      <w:r>
        <w:rPr>
          <w:rFonts w:hint="eastAsia" w:ascii="微软雅黑" w:hAnsi="微软雅黑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价值★★★★☆ 爆点88℃</w:t>
      </w:r>
      <w:r>
        <w:rPr>
          <w:rFonts w:hint="eastAsia" w:ascii="微软雅黑" w:hAnsi="微软雅黑" w:cs="宋体"/>
          <w:sz w:val="24"/>
          <w:szCs w:val="24"/>
        </w:rPr>
        <w:t>）</w:t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解读两种不同的企业底层架构、机制与制度、现金流与利润、加法思维与减法思维。</w:t>
      </w:r>
    </w:p>
    <w:p>
      <w:pPr>
        <w:tabs>
          <w:tab w:val="left" w:pos="840"/>
        </w:tabs>
        <w:spacing w:line="0" w:lineRule="atLeast"/>
        <w:rPr>
          <w:rFonts w:ascii="宋体" w:hAnsi="宋体"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学习用开放的、长远的眼光去发展企业。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b/>
          <w:bCs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微软雅黑" w:hAnsi="微软雅黑" w:cs="宋体"/>
          <w:b/>
          <w:bCs/>
          <w:szCs w:val="21"/>
        </w:rPr>
      </w:pPr>
      <w:r>
        <w:rPr>
          <w:rFonts w:ascii="微软雅黑" w:hAnsi="微软雅黑" w:cs="宋体"/>
          <w:b/>
          <w:bCs/>
          <w:szCs w:val="21"/>
        </w:rPr>
        <w:t>精彩一览</w:t>
      </w:r>
      <w:r>
        <w:rPr>
          <w:rFonts w:hint="eastAsia" w:ascii="微软雅黑" w:hAnsi="微软雅黑" w:cs="宋体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ascii="微软雅黑" w:hAnsi="微软雅黑" w:cs="宋体"/>
          <w:szCs w:val="21"/>
        </w:rPr>
        <w:t>传统企业的高管在离职创业时会从原公司带走两样东西，一个是人才，一个是资源。</w:t>
      </w:r>
      <w:r>
        <w:rPr>
          <w:rFonts w:hint="eastAsia" w:ascii="宋体" w:hAnsi="宋体" w:cs="宋体"/>
          <w:kern w:val="0"/>
          <w:szCs w:val="21"/>
        </w:rPr>
        <w:t>高管离职创业，尤其是创始人分裂做同类型的公司是最危险的，比一个强大的对手可怕得多。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ascii="宋体" w:hAnsi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 w:val="28"/>
          <w:szCs w:val="28"/>
        </w:rPr>
        <w:t>二</w:t>
      </w:r>
      <w:r>
        <w:rPr>
          <w:rFonts w:ascii="微软雅黑" w:hAnsi="微软雅黑" w:cs="宋体"/>
          <w:b/>
          <w:bCs/>
          <w:sz w:val="28"/>
          <w:szCs w:val="28"/>
        </w:rPr>
        <w:t>、股权设计</w:t>
      </w:r>
      <w:r>
        <w:rPr>
          <w:rFonts w:hint="eastAsia" w:ascii="黑体" w:hAnsi="黑体" w:eastAsia="黑体" w:cs="黑体"/>
          <w:sz w:val="24"/>
          <w:szCs w:val="24"/>
        </w:rPr>
        <w:t>（价值指数★★★★★ 爆点100℃）</w:t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解读有关裂变公司、股权分配、股权赋能、股权十大陷阱、股权顶层设计以及相关法律与案例。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b/>
          <w:bCs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精彩一览：</w:t>
      </w:r>
      <w:r>
        <w:rPr>
          <w:rFonts w:hint="eastAsia" w:ascii="宋体" w:hAnsi="宋体"/>
          <w:szCs w:val="21"/>
        </w:rPr>
        <w:t xml:space="preserve">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合伙创业已经成为成功企业标配，如何用股权引进牛人，并进行合理的股权分配？如何利用股权为公司和员工赋能？如何在不控股的情况下，控制公司？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微软雅黑" w:hAnsi="微软雅黑" w:cs="宋体"/>
          <w:b/>
          <w:bCs/>
          <w:sz w:val="28"/>
          <w:szCs w:val="28"/>
        </w:rPr>
        <w:t>三、股权激励</w:t>
      </w:r>
      <w:r>
        <w:rPr>
          <w:rFonts w:hint="eastAsia" w:ascii="黑体" w:hAnsi="黑体" w:eastAsia="黑体" w:cs="黑体"/>
          <w:sz w:val="24"/>
          <w:szCs w:val="24"/>
        </w:rPr>
        <w:t>（价值指数★★★★★ 爆点100℃）</w:t>
      </w:r>
    </w:p>
    <w:p>
      <w:pPr>
        <w:shd w:val="clear" w:color="auto" w:fill="FFFFFF"/>
        <w:spacing w:line="480" w:lineRule="atLeast"/>
        <w:rPr>
          <w:rFonts w:hint="eastAsia"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2724150" cy="429260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花样期权激励的九大步骤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pt;margin-top:5.1pt;height:33.8pt;width:214.5pt;z-index:251662336;mso-width-relative:page;mso-height-relative:page;" filled="f" stroked="f" coordsize="21600,21600" o:gfxdata="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5gUGq2QAAAAgBAAAPAAAAAAAAAAEAIAAAACIA&#10;AABkcnMvZG93bnJldi54bWxQSwECFAAUAAAACACHTuJAJmwhY0ECAAB4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花样期权激励的九大步骤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drawing>
          <wp:inline distT="0" distB="0" distL="114300" distR="114300">
            <wp:extent cx="3390265" cy="2095500"/>
            <wp:effectExtent l="0" t="0" r="635" b="0"/>
            <wp:docPr id="4" name="图片 1" descr="QQ截图201801241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截图2018012414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学会用明天的钱激励今天的员工，与员工利益捆绑，激发员工主人翁意识。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b/>
          <w:bCs/>
          <w:szCs w:val="21"/>
        </w:rPr>
      </w:pP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精彩一览：</w:t>
      </w:r>
    </w:p>
    <w:p>
      <w:pPr>
        <w:jc w:val="left"/>
        <w:rPr>
          <w:rFonts w:ascii="微软雅黑" w:hAnsi="微软雅黑" w:cs="宋体"/>
          <w:szCs w:val="21"/>
        </w:rPr>
      </w:pPr>
      <w:r>
        <w:rPr>
          <w:rFonts w:hint="eastAsia" w:ascii="微软雅黑" w:hAnsi="微软雅黑" w:cs="宋体"/>
          <w:szCs w:val="21"/>
        </w:rPr>
        <w:t>解读股权激励工具、九大激励步骤，掌握花样期权、分红期权池、超额（量）分红权等实战激励方式。</w:t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szCs w:val="21"/>
        </w:rPr>
        <w:t>重点分享增量分红、虚拟股权池、阿米巴模式等实际落地的操作。</w:t>
      </w: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微软雅黑" w:hAnsi="微软雅黑" w:cs="宋体"/>
          <w:b/>
          <w:bCs/>
          <w:sz w:val="28"/>
          <w:szCs w:val="28"/>
        </w:rPr>
        <w:t>四、公司治理结构</w:t>
      </w:r>
      <w:r>
        <w:rPr>
          <w:rFonts w:hint="eastAsia" w:ascii="黑体" w:hAnsi="黑体" w:eastAsia="黑体" w:cs="黑体"/>
          <w:sz w:val="24"/>
          <w:szCs w:val="24"/>
        </w:rPr>
        <w:t>（价值指数★★★★☆ 爆点90℃）</w:t>
      </w: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法人治理结构的基本构成、权限划分、权力制衡及股东会议与董事会决议。</w:t>
      </w:r>
    </w:p>
    <w:p>
      <w:pPr>
        <w:tabs>
          <w:tab w:val="left" w:pos="840"/>
        </w:tabs>
        <w:spacing w:line="0" w:lineRule="atLeast"/>
        <w:rPr>
          <w:rFonts w:hint="eastAsia" w:ascii="宋体" w:hAnsi="宋体" w:cs="宋体"/>
          <w:b/>
          <w:bCs/>
          <w:szCs w:val="21"/>
        </w:rPr>
      </w:pPr>
    </w:p>
    <w:p>
      <w:pPr>
        <w:jc w:val="left"/>
        <w:rPr>
          <w:rFonts w:hint="eastAsia" w:ascii="微软雅黑" w:hAnsi="微软雅黑" w:cs="宋体"/>
          <w:b/>
          <w:bCs/>
          <w:szCs w:val="21"/>
        </w:rPr>
      </w:pPr>
      <w:r>
        <w:rPr>
          <w:rFonts w:hint="eastAsia" w:ascii="微软雅黑" w:hAnsi="微软雅黑" w:cs="宋体"/>
          <w:b/>
          <w:bCs/>
          <w:szCs w:val="21"/>
        </w:rPr>
        <w:t>精彩一览：</w:t>
      </w:r>
    </w:p>
    <w:p>
      <w:pPr>
        <w:jc w:val="left"/>
        <w:rPr>
          <w:rFonts w:hint="eastAsia" w:ascii="微软雅黑" w:hAnsi="微软雅黑" w:cs="宋体"/>
          <w:szCs w:val="21"/>
        </w:rPr>
      </w:pPr>
      <w:r>
        <w:rPr>
          <w:rFonts w:hint="eastAsia" w:ascii="微软雅黑" w:hAnsi="微软雅黑" w:cs="宋体"/>
          <w:szCs w:val="21"/>
        </w:rPr>
        <w:t>了解法人治理的基本构成，学习如何制衡公司的各方权力、把控公司主导权，掌握股东会议以及董事会决议正确的“打开方式”。</w:t>
      </w:r>
    </w:p>
    <w:p>
      <w:pPr>
        <w:jc w:val="left"/>
        <w:rPr>
          <w:rFonts w:hint="eastAsia" w:ascii="微软雅黑" w:hAnsi="微软雅黑" w:cs="宋体"/>
          <w:b/>
          <w:bCs/>
          <w:sz w:val="28"/>
          <w:szCs w:val="28"/>
        </w:rPr>
      </w:pPr>
    </w:p>
    <w:p>
      <w:pPr>
        <w:jc w:val="left"/>
        <w:rPr>
          <w:rFonts w:hint="eastAsia" w:ascii="微软雅黑" w:hAnsi="微软雅黑" w:cs="宋体"/>
          <w:b/>
          <w:bCs/>
          <w:sz w:val="28"/>
          <w:szCs w:val="28"/>
        </w:rPr>
      </w:pPr>
      <w:r>
        <w:rPr>
          <w:rFonts w:hint="eastAsia" w:ascii="微软雅黑" w:hAnsi="微软雅黑" w:cs="宋体"/>
          <w:b/>
          <w:bCs/>
          <w:sz w:val="28"/>
          <w:szCs w:val="28"/>
        </w:rPr>
        <w:t>案例实战</w:t>
      </w:r>
      <w:r>
        <w:rPr>
          <w:rFonts w:hint="eastAsia" w:ascii="黑体" w:hAnsi="黑体" w:eastAsia="黑体" w:cs="黑体"/>
          <w:sz w:val="24"/>
          <w:szCs w:val="24"/>
        </w:rPr>
        <w:t>（价值★★★★☆ 爆点100℃）</w:t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drawing>
          <wp:inline distT="0" distB="0" distL="114300" distR="114300">
            <wp:extent cx="2540000" cy="1694180"/>
            <wp:effectExtent l="0" t="0" r="12700" b="1270"/>
            <wp:docPr id="9" name="图片 2" descr="IMG_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99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drawing>
          <wp:inline distT="0" distB="0" distL="114300" distR="114300">
            <wp:extent cx="2513965" cy="1676400"/>
            <wp:effectExtent l="0" t="0" r="635" b="0"/>
            <wp:docPr id="10" name="图片 3" descr="IMG_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9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drawing>
          <wp:inline distT="0" distB="0" distL="114300" distR="114300">
            <wp:extent cx="2529840" cy="1687195"/>
            <wp:effectExtent l="0" t="0" r="3810" b="8255"/>
            <wp:docPr id="11" name="图片 4" descr="IMG_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99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drawing>
          <wp:inline distT="0" distB="0" distL="114300" distR="114300">
            <wp:extent cx="2524760" cy="1683385"/>
            <wp:effectExtent l="0" t="0" r="8890" b="12065"/>
            <wp:docPr id="13" name="图片 5" descr="IMG_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99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学员项目嵌套股权设计：现场设计，实时点评，学以致用，带方案回家，多赢。</w:t>
      </w:r>
    </w:p>
    <w:p>
      <w:pPr>
        <w:jc w:val="left"/>
        <w:rPr>
          <w:rFonts w:hint="eastAsia" w:ascii="宋体" w:hAnsi="宋体"/>
          <w:b/>
          <w:bCs/>
          <w:szCs w:val="21"/>
        </w:rPr>
      </w:pPr>
    </w:p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精彩一览：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在案例实战环节，我们引入学员项目分享+股权设计实战嵌套+小组智囊团+现场点评+方案带回家的方式。</w:t>
      </w:r>
    </w:p>
    <w:p>
      <w:pPr>
        <w:jc w:val="left"/>
        <w:rPr>
          <w:rFonts w:hint="eastAsia" w:ascii="宋体" w:hAnsi="宋体"/>
          <w:b/>
          <w:bCs/>
          <w:szCs w:val="21"/>
        </w:rPr>
      </w:pPr>
    </w:p>
    <w:p>
      <w:pPr>
        <w:jc w:val="left"/>
        <w:rPr>
          <w:rFonts w:hint="eastAsia" w:ascii="微软雅黑" w:hAnsi="微软雅黑" w:cs="宋体"/>
          <w:b/>
          <w:bCs/>
          <w:sz w:val="28"/>
          <w:szCs w:val="28"/>
        </w:rPr>
      </w:pPr>
      <w:r>
        <w:rPr>
          <w:rFonts w:hint="eastAsia" w:ascii="微软雅黑" w:hAnsi="微软雅黑" w:cs="宋体"/>
          <w:b/>
          <w:bCs/>
          <w:sz w:val="28"/>
          <w:szCs w:val="28"/>
        </w:rPr>
        <w:t>你能获得什么？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千余张PPT海量干货呈现 股权课程上，不仅有方永飞教授毫无保留地传授呕心沥血制作的千余张PPT，更有资深专家亲临现场，让你完成从0到1的完美蜕变！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资深专家亲临指导 对话资深专家导师，了解新锐企业实战情景，借鉴吸收，运用到自己的企业。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实战型股权干货100%还原，不论你要融资还是解决股权分配问题，现场干货100%原滋原味呈现。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大咖导师一对一交流机会与大咖导师深入交流，解除心中疑惑，收获股权战略实战方法。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二天导师集中特训，持续的头脑风暴，海量的知识激荡，给你最极致的学习体验。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小组PK制实战学习，按行业分组，沙龙式教学，组内思维碰撞，台上轮流分享，站台的过程也是巩固知识的过程。</w:t>
      </w:r>
    </w:p>
    <w:p>
      <w:pPr>
        <w:pStyle w:val="46"/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szCs w:val="22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</w:rPr>
        <w:t>百人精英学习圈，持续震荡的班级学习圈，相互切磋，群策群力，沉淀知识见解，收获精英人脉。</w:t>
      </w: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114300</wp:posOffset>
                </wp:positionV>
                <wp:extent cx="3762375" cy="1666875"/>
                <wp:effectExtent l="0" t="0" r="9525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0"/>
                                <w:szCs w:val="36"/>
                                <w:lang w:val="zh-CN"/>
                              </w:rPr>
                              <w:t>方永飞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共创会创始人、会长；光华-共创会EMBA教学长；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6"/>
                                <w:szCs w:val="30"/>
                                <w:lang w:val="zh-CN" w:eastAsia="zh-CN"/>
                              </w:rPr>
                              <w:t>BLM科学经营™首席专家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2.2pt;margin-top:9pt;height:131.25pt;width:296.25pt;z-index:251663360;mso-width-relative:page;mso-height-relative:page;" fillcolor="#FFFFFF" filled="t" stroked="f" coordsize="21600,21600" o:gfxdata="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A507jbAAAACgEAAA8AAAAA&#10;AAAAAQAgAAAAIgAAAGRycy9kb3ducmV2LnhtbFBLAQIUABQAAAAIAIdO4kDiOaqQEQIAADMEAAAO&#10;AAAAAAAAAAEAIAAAACo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0"/>
                          <w:szCs w:val="36"/>
                          <w:lang w:val="zh-CN"/>
                        </w:rPr>
                        <w:t>方永飞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共创会创始人、会长；光华-共创会EMBA教学长；</w:t>
                      </w:r>
                      <w:r>
                        <w:rPr>
                          <w:rFonts w:hint="eastAsia"/>
                          <w:b/>
                          <w:bCs w:val="0"/>
                          <w:sz w:val="36"/>
                          <w:szCs w:val="30"/>
                          <w:lang w:val="zh-CN" w:eastAsia="zh-CN"/>
                        </w:rPr>
                        <w:t>BLM科学经营™首席专家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1906905" cy="2288540"/>
            <wp:effectExtent l="3810" t="3810" r="13335" b="12700"/>
            <wp:docPr id="8" name="图片 8" descr="F:\2018年\杭州公开课\3月\方永飞\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2018年\杭州公开课\3月\方永飞\图片1.png图片1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28854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</w:t>
      </w:r>
    </w:p>
    <w:p>
      <w:pPr>
        <w:tabs>
          <w:tab w:val="center" w:pos="5233"/>
        </w:tabs>
        <w:rPr>
          <w:rFonts w:ascii="宋体" w:hAnsi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/>
          <w:b w:val="0"/>
          <w:bCs/>
          <w:szCs w:val="22"/>
          <w:lang w:eastAsia="zh-CN"/>
        </w:rPr>
        <w:t>企业BLM科学经营™、绩效飞轮®首席专家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/>
          <w:b w:val="0"/>
          <w:bCs/>
          <w:szCs w:val="22"/>
          <w:lang w:eastAsia="zh-CN"/>
        </w:rPr>
        <w:t>光华赋能董事长、集盒商学APP创始人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/>
          <w:b w:val="0"/>
          <w:bCs/>
          <w:szCs w:val="22"/>
          <w:lang w:eastAsia="zh-CN"/>
        </w:rPr>
        <w:t>共创会创始人、会长；光华-共创会EMBA教学长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/>
          <w:b w:val="0"/>
          <w:bCs/>
          <w:szCs w:val="22"/>
          <w:lang w:eastAsia="zh-CN"/>
        </w:rPr>
        <w:t>浙江省第一批管理对标省级专家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/>
          <w:b w:val="0"/>
          <w:bCs/>
          <w:szCs w:val="22"/>
          <w:lang w:eastAsia="zh-CN"/>
        </w:rPr>
        <w:t>杭州市电商专委会副主任；原浙江大学主讲教授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/>
          <w:szCs w:val="22"/>
          <w:lang w:eastAsia="zh-CN"/>
        </w:rPr>
        <w:t>著作有《赢在中层》、《顶尖销售》、《消费即创业》、《回归经营》、《自组织》、《开放的力量》、《人才大厦》等等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cs="宋体"/>
          <w:szCs w:val="21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授课风格</w:t>
      </w:r>
    </w:p>
    <w:p>
      <w:pPr>
        <w:spacing w:line="240" w:lineRule="auto"/>
        <w:ind w:firstLine="420" w:firstLineChars="200"/>
        <w:rPr>
          <w:rFonts w:ascii="微软雅黑" w:hAnsi="微软雅黑" w:eastAsia="宋体" w:cs="宋体"/>
          <w:color w:val="auto"/>
          <w:sz w:val="21"/>
          <w:szCs w:val="21"/>
        </w:rPr>
      </w:pPr>
      <w:r>
        <w:rPr>
          <w:rFonts w:ascii="微软雅黑" w:hAnsi="微软雅黑" w:eastAsia="宋体" w:cs="宋体"/>
          <w:color w:val="auto"/>
          <w:sz w:val="21"/>
          <w:szCs w:val="21"/>
        </w:rPr>
        <w:t>他一直都是一个践行者，孜孜以求引领</w:t>
      </w:r>
      <w:r>
        <w:rPr>
          <w:rFonts w:hint="eastAsia" w:ascii="微软雅黑" w:hAnsi="微软雅黑" w:eastAsia="宋体" w:cs="宋体"/>
          <w:color w:val="auto"/>
          <w:sz w:val="21"/>
          <w:szCs w:val="21"/>
          <w:lang w:eastAsia="zh-CN"/>
        </w:rPr>
        <w:t>与实践</w:t>
      </w:r>
      <w:r>
        <w:rPr>
          <w:rFonts w:ascii="微软雅黑" w:hAnsi="微软雅黑" w:eastAsia="宋体" w:cs="宋体"/>
          <w:color w:val="auto"/>
          <w:sz w:val="21"/>
          <w:szCs w:val="21"/>
        </w:rPr>
        <w:t>新商业文明，创办的公司也一直都是小而美的典范，他一直用实践去尝试哪种企业模式最给力！方永飞教授的课嬉笑怒骂，妙趣横生，人称管理界的郭德纲，与外貌无关。他的一席话，一堂课，一即一切。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cs="宋体"/>
          <w:szCs w:val="21"/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cs="Tahoma"/>
          <w:szCs w:val="21"/>
          <w:lang w:eastAsia="zh-CN" w:bidi="ar-SA"/>
        </w:rPr>
      </w:pPr>
      <w:r>
        <w:rPr>
          <w:rFonts w:hint="eastAsia"/>
        </w:rPr>
        <w:t>结合移动互联网，方老师颠覆性的推出了助推中小企业管理系统发展的云管理平台—共同体GTT云管理平台，有效的帮助企业解决了绩效管理和员工职业化发展的两大痛点。同时，GTT也被认为是OA的终结者。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default" w:ascii="宋体" w:cs="Tahoma"/>
          <w:szCs w:val="21"/>
          <w:lang w:val="en-US" w:eastAsia="zh-CN" w:bidi="ar-SA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default" w:ascii="宋体" w:cs="Tahoma"/>
          <w:szCs w:val="21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日（周六）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《现代企业高效档案管理实务》</w:t>
      </w:r>
    </w:p>
    <w:p>
      <w:pPr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梁若冰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（原58到家海外业务负责人、智联招聘内训业务负责人）</w:t>
      </w: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0288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8D8F4"/>
    <w:multiLevelType w:val="singleLevel"/>
    <w:tmpl w:val="8248D8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3DC18E"/>
    <w:multiLevelType w:val="singleLevel"/>
    <w:tmpl w:val="BF3DC1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">
    <w:nsid w:val="5A681F02"/>
    <w:multiLevelType w:val="singleLevel"/>
    <w:tmpl w:val="5A681F0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4">
    <w:nsid w:val="5A68214A"/>
    <w:multiLevelType w:val="singleLevel"/>
    <w:tmpl w:val="5A68214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 w:cs="Wingdings"/>
        <w:color w:val="00B0F0"/>
      </w:rPr>
    </w:lvl>
  </w:abstractNum>
  <w:abstractNum w:abstractNumId="5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3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C566035"/>
    <w:rsid w:val="0CD61AA1"/>
    <w:rsid w:val="0DA16C24"/>
    <w:rsid w:val="0DAC13D2"/>
    <w:rsid w:val="0DF11DA8"/>
    <w:rsid w:val="0E4862F5"/>
    <w:rsid w:val="0E9B3149"/>
    <w:rsid w:val="0ECA17E3"/>
    <w:rsid w:val="0EFE6853"/>
    <w:rsid w:val="0F6F7C9D"/>
    <w:rsid w:val="0FFD2BFC"/>
    <w:rsid w:val="10E31880"/>
    <w:rsid w:val="10F3565F"/>
    <w:rsid w:val="11865773"/>
    <w:rsid w:val="119F3AAC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133958"/>
    <w:rsid w:val="173C68B4"/>
    <w:rsid w:val="17FF597F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312A0C"/>
    <w:rsid w:val="1B39025D"/>
    <w:rsid w:val="1B8134B1"/>
    <w:rsid w:val="1B925AC0"/>
    <w:rsid w:val="1C5D5BA2"/>
    <w:rsid w:val="1CB974E3"/>
    <w:rsid w:val="1CF614B1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15D0D9C"/>
    <w:rsid w:val="2189664A"/>
    <w:rsid w:val="22003B30"/>
    <w:rsid w:val="22D16EA5"/>
    <w:rsid w:val="233A0DDD"/>
    <w:rsid w:val="23435777"/>
    <w:rsid w:val="247A3A18"/>
    <w:rsid w:val="24BB736C"/>
    <w:rsid w:val="25107372"/>
    <w:rsid w:val="251E0E9C"/>
    <w:rsid w:val="25951AF5"/>
    <w:rsid w:val="25B115CA"/>
    <w:rsid w:val="25FB2E6B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E55F8B"/>
    <w:rsid w:val="3714749D"/>
    <w:rsid w:val="374D348A"/>
    <w:rsid w:val="386D187C"/>
    <w:rsid w:val="38CF2F29"/>
    <w:rsid w:val="39600F49"/>
    <w:rsid w:val="397152FC"/>
    <w:rsid w:val="397F0500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622688"/>
    <w:rsid w:val="4A644EC9"/>
    <w:rsid w:val="4A722025"/>
    <w:rsid w:val="4A820A3B"/>
    <w:rsid w:val="4AA05FDC"/>
    <w:rsid w:val="4ADC79FD"/>
    <w:rsid w:val="4B792A0A"/>
    <w:rsid w:val="4B950932"/>
    <w:rsid w:val="4BA42D93"/>
    <w:rsid w:val="4C6F49E8"/>
    <w:rsid w:val="4C800691"/>
    <w:rsid w:val="4C9546CC"/>
    <w:rsid w:val="4CC51BEE"/>
    <w:rsid w:val="4CE80A0F"/>
    <w:rsid w:val="4D032DE6"/>
    <w:rsid w:val="4D562E14"/>
    <w:rsid w:val="4D844457"/>
    <w:rsid w:val="4E0D7F90"/>
    <w:rsid w:val="4E62395A"/>
    <w:rsid w:val="4E6F0B33"/>
    <w:rsid w:val="4EF905EE"/>
    <w:rsid w:val="4F827BB5"/>
    <w:rsid w:val="4FAF0352"/>
    <w:rsid w:val="51A758CA"/>
    <w:rsid w:val="51B85C55"/>
    <w:rsid w:val="51CC2649"/>
    <w:rsid w:val="51DF34BB"/>
    <w:rsid w:val="522E06D1"/>
    <w:rsid w:val="52D8189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A45652"/>
    <w:rsid w:val="55E8015C"/>
    <w:rsid w:val="55FD4028"/>
    <w:rsid w:val="566E4672"/>
    <w:rsid w:val="568C7E6C"/>
    <w:rsid w:val="577047CD"/>
    <w:rsid w:val="57BC1A0B"/>
    <w:rsid w:val="57BF173C"/>
    <w:rsid w:val="57D172B7"/>
    <w:rsid w:val="57E24D15"/>
    <w:rsid w:val="58266167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BB052B"/>
    <w:rsid w:val="5F5B3296"/>
    <w:rsid w:val="5FD5341C"/>
    <w:rsid w:val="5FE23114"/>
    <w:rsid w:val="60611FEC"/>
    <w:rsid w:val="60EB724C"/>
    <w:rsid w:val="61872CB0"/>
    <w:rsid w:val="61897606"/>
    <w:rsid w:val="618D4BE8"/>
    <w:rsid w:val="6232481E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9067B2"/>
    <w:rsid w:val="66916127"/>
    <w:rsid w:val="66A73ECF"/>
    <w:rsid w:val="67891D66"/>
    <w:rsid w:val="67BE5491"/>
    <w:rsid w:val="67FD1A25"/>
    <w:rsid w:val="6818121D"/>
    <w:rsid w:val="681C2463"/>
    <w:rsid w:val="682607BB"/>
    <w:rsid w:val="686B5634"/>
    <w:rsid w:val="687D0601"/>
    <w:rsid w:val="68AD274F"/>
    <w:rsid w:val="68CD3E7F"/>
    <w:rsid w:val="68DD04BA"/>
    <w:rsid w:val="68F047DC"/>
    <w:rsid w:val="691B2A27"/>
    <w:rsid w:val="692D3036"/>
    <w:rsid w:val="6964373A"/>
    <w:rsid w:val="698D1F16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70490B2B"/>
    <w:rsid w:val="705213D3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690212"/>
    <w:rsid w:val="777179FB"/>
    <w:rsid w:val="77785EB7"/>
    <w:rsid w:val="77D15D54"/>
    <w:rsid w:val="77E26D16"/>
    <w:rsid w:val="77EF597E"/>
    <w:rsid w:val="77FD0F35"/>
    <w:rsid w:val="78752B86"/>
    <w:rsid w:val="78CF032E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4D5D1D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2825</Words>
  <Characters>2959</Characters>
  <Lines>10</Lines>
  <Paragraphs>3</Paragraphs>
  <TotalTime>1</TotalTime>
  <ScaleCrop>false</ScaleCrop>
  <LinksUpToDate>false</LinksUpToDate>
  <CharactersWithSpaces>3000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</cp:lastModifiedBy>
  <cp:lastPrinted>2015-07-07T09:25:00Z</cp:lastPrinted>
  <dcterms:modified xsi:type="dcterms:W3CDTF">2022-06-29T08:37:40Z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ICV">
    <vt:lpwstr>682005B3042C40CA88DB04D839A5B3F7</vt:lpwstr>
  </property>
</Properties>
</file>