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color w:val="0000FF"/>
        </w:rPr>
      </w:pPr>
      <w:r>
        <w:rPr>
          <w:rFonts w:hint="eastAsia" w:ascii="微软雅黑" w:hAnsi="微软雅黑" w:eastAsia="微软雅黑" w:cs="微软雅黑"/>
          <w:b/>
          <w:color w:val="0000FF"/>
          <w:sz w:val="44"/>
        </w:rPr>
        <w:t>薪酬与福利体系建设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eastAsia="微软雅黑"/>
          <w:b/>
          <w:szCs w:val="21"/>
          <w:lang w:eastAsia="zh-CN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培训时间</w:t>
      </w:r>
      <w:r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/地点</w:t>
      </w: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：</w:t>
      </w:r>
      <w:r>
        <w:rPr>
          <w:rFonts w:hint="eastAsia" w:eastAsia="微软雅黑"/>
          <w:b/>
          <w:szCs w:val="21"/>
        </w:rPr>
        <w:t>202</w:t>
      </w:r>
      <w:r>
        <w:rPr>
          <w:rFonts w:hint="eastAsia" w:eastAsia="微软雅黑"/>
          <w:b/>
          <w:szCs w:val="21"/>
          <w:lang w:val="en-US" w:eastAsia="zh-CN"/>
        </w:rPr>
        <w:t>2</w:t>
      </w:r>
      <w:r>
        <w:rPr>
          <w:rFonts w:hint="eastAsia" w:eastAsia="微软雅黑"/>
          <w:b/>
          <w:szCs w:val="21"/>
        </w:rPr>
        <w:t>年</w:t>
      </w:r>
      <w:bookmarkStart w:id="0" w:name="_GoBack"/>
      <w:r>
        <w:rPr>
          <w:rFonts w:hint="eastAsia" w:eastAsia="微软雅黑"/>
          <w:b/>
          <w:szCs w:val="21"/>
          <w:lang w:val="en-US" w:eastAsia="zh-CN"/>
        </w:rPr>
        <w:t>12</w:t>
      </w:r>
      <w:r>
        <w:rPr>
          <w:rFonts w:hint="eastAsia" w:eastAsia="微软雅黑"/>
          <w:b/>
          <w:szCs w:val="21"/>
        </w:rPr>
        <w:t>月</w:t>
      </w:r>
      <w:r>
        <w:rPr>
          <w:rFonts w:hint="eastAsia" w:eastAsia="微软雅黑"/>
          <w:b/>
          <w:szCs w:val="21"/>
          <w:lang w:val="en-US" w:eastAsia="zh-CN"/>
        </w:rPr>
        <w:t>13</w:t>
      </w:r>
      <w:r>
        <w:rPr>
          <w:rFonts w:hint="eastAsia" w:eastAsia="微软雅黑"/>
          <w:b/>
          <w:szCs w:val="21"/>
        </w:rPr>
        <w:t>日（</w:t>
      </w:r>
      <w:r>
        <w:rPr>
          <w:rFonts w:eastAsia="微软雅黑"/>
          <w:b/>
          <w:szCs w:val="21"/>
        </w:rPr>
        <w:t>星期</w:t>
      </w:r>
      <w:r>
        <w:rPr>
          <w:rFonts w:hint="eastAsia" w:eastAsia="微软雅黑"/>
          <w:b/>
          <w:szCs w:val="21"/>
          <w:lang w:eastAsia="zh-CN"/>
        </w:rPr>
        <w:t>二</w:t>
      </w:r>
      <w:r>
        <w:rPr>
          <w:rFonts w:hint="eastAsia" w:eastAsia="微软雅黑"/>
          <w:b/>
          <w:szCs w:val="21"/>
        </w:rPr>
        <w:t>）/</w:t>
      </w:r>
      <w:r>
        <w:rPr>
          <w:rFonts w:hint="eastAsia" w:eastAsia="微软雅黑"/>
          <w:b/>
          <w:szCs w:val="21"/>
          <w:lang w:eastAsia="zh-CN"/>
        </w:rPr>
        <w:t>上</w:t>
      </w:r>
      <w:r>
        <w:rPr>
          <w:rFonts w:hint="eastAsia" w:eastAsia="微软雅黑"/>
          <w:b/>
          <w:szCs w:val="21"/>
          <w:lang w:val="en-US" w:eastAsia="zh-CN"/>
        </w:rPr>
        <w:t xml:space="preserve"> </w:t>
      </w:r>
      <w:r>
        <w:rPr>
          <w:rFonts w:hint="eastAsia" w:eastAsia="微软雅黑"/>
          <w:b/>
          <w:szCs w:val="21"/>
          <w:lang w:eastAsia="zh-CN"/>
        </w:rPr>
        <w:t>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eastAsia" w:eastAsia="微软雅黑"/>
          <w:b/>
          <w:szCs w:val="21"/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收费标准：</w:t>
      </w:r>
      <w:r>
        <w:rPr>
          <w:rFonts w:eastAsia="微软雅黑"/>
          <w:b/>
          <w:szCs w:val="21"/>
        </w:rPr>
        <w:t>￥</w:t>
      </w:r>
      <w:r>
        <w:rPr>
          <w:rFonts w:hint="eastAsia" w:eastAsia="微软雅黑"/>
          <w:b/>
          <w:szCs w:val="21"/>
          <w:lang w:val="en-US" w:eastAsia="zh-CN"/>
        </w:rPr>
        <w:t>2500</w:t>
      </w:r>
      <w:r>
        <w:rPr>
          <w:rFonts w:eastAsia="微软雅黑"/>
          <w:b/>
          <w:szCs w:val="21"/>
        </w:rPr>
        <w:t>/人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eastAsia="微软雅黑"/>
        </w:rPr>
      </w:pPr>
      <w:r>
        <w:rPr>
          <w:rFonts w:eastAsia="微软雅黑"/>
        </w:rPr>
        <w:t>含授课费、证书费、资料费、午餐费、茶点费、会务费、税费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eastAsia="微软雅黑"/>
          <w:szCs w:val="22"/>
        </w:rPr>
      </w:pPr>
      <w:r>
        <w:rPr>
          <w:rFonts w:hint="eastAsia" w:eastAsia="微软雅黑"/>
          <w:szCs w:val="22"/>
        </w:rPr>
        <w:t>不包含学员往返培训场地的交通费用、住宿费用，早餐及晚餐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课程目标：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掌握薪酬结构</w:t>
      </w:r>
      <w:r>
        <w:rPr>
          <w:rFonts w:hint="eastAsia" w:ascii="Times New Roman" w:hAnsi="Times New Roman" w:eastAsia="微软雅黑" w:cs="Times New Roman"/>
        </w:rPr>
        <w:t>设计</w:t>
      </w:r>
      <w:r>
        <w:rPr>
          <w:rFonts w:ascii="Times New Roman" w:hAnsi="Times New Roman" w:eastAsia="微软雅黑" w:cs="Times New Roman"/>
        </w:rPr>
        <w:t>的</w:t>
      </w:r>
      <w:r>
        <w:rPr>
          <w:rFonts w:hint="eastAsia" w:ascii="Times New Roman" w:hAnsi="Times New Roman" w:eastAsia="微软雅黑" w:cs="Times New Roman"/>
        </w:rPr>
        <w:t>基本原则和</w:t>
      </w:r>
      <w:r>
        <w:rPr>
          <w:rFonts w:ascii="Times New Roman" w:hAnsi="Times New Roman" w:eastAsia="微软雅黑" w:cs="Times New Roman"/>
        </w:rPr>
        <w:t>方法，建立合适的薪酬结构</w:t>
      </w:r>
      <w:r>
        <w:rPr>
          <w:rFonts w:hint="eastAsia" w:ascii="Times New Roman" w:hAnsi="Times New Roman" w:eastAsia="微软雅黑" w:cs="Times New Roman"/>
        </w:rPr>
        <w:t>框架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掌握</w:t>
      </w:r>
      <w:r>
        <w:rPr>
          <w:rFonts w:hint="eastAsia" w:ascii="Times New Roman" w:hAnsi="Times New Roman" w:eastAsia="微软雅黑" w:cs="Times New Roman"/>
        </w:rPr>
        <w:t>工</w:t>
      </w:r>
      <w:r>
        <w:rPr>
          <w:rFonts w:ascii="Times New Roman" w:hAnsi="Times New Roman" w:eastAsia="微软雅黑" w:cs="Times New Roman"/>
        </w:rPr>
        <w:t>资确定及调整的方法</w:t>
      </w:r>
      <w:r>
        <w:rPr>
          <w:rFonts w:hint="eastAsia" w:ascii="Times New Roman" w:hAnsi="Times New Roman" w:eastAsia="微软雅黑" w:cs="Times New Roman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Times New Roman" w:hAnsi="Times New Roman" w:eastAsia="微软雅黑" w:cs="Times New Roman"/>
        </w:rPr>
      </w:pPr>
      <w:r>
        <w:rPr>
          <w:rFonts w:ascii="Times New Roman" w:hAnsi="Times New Roman" w:eastAsia="微软雅黑" w:cs="Times New Roman"/>
        </w:rPr>
        <w:t>掌握制定</w:t>
      </w:r>
      <w:r>
        <w:rPr>
          <w:rFonts w:hint="eastAsia" w:ascii="Times New Roman" w:hAnsi="Times New Roman" w:eastAsia="微软雅黑" w:cs="Times New Roman"/>
        </w:rPr>
        <w:t>整体</w:t>
      </w:r>
      <w:r>
        <w:rPr>
          <w:rFonts w:ascii="Times New Roman" w:hAnsi="Times New Roman" w:eastAsia="微软雅黑" w:cs="Times New Roman"/>
        </w:rPr>
        <w:t>奖励计划的方法，灵活制订企业</w:t>
      </w:r>
      <w:r>
        <w:rPr>
          <w:rFonts w:hint="eastAsia" w:ascii="Times New Roman" w:hAnsi="Times New Roman" w:eastAsia="微软雅黑" w:cs="Times New Roman"/>
        </w:rPr>
        <w:t>的</w:t>
      </w:r>
      <w:r>
        <w:rPr>
          <w:rFonts w:ascii="Times New Roman" w:hAnsi="Times New Roman" w:eastAsia="微软雅黑" w:cs="Times New Roman"/>
        </w:rPr>
        <w:t>奖励计划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微软雅黑" w:cs="Times New Roman"/>
          <w:b/>
          <w:color w:val="C00000"/>
          <w:sz w:val="24"/>
          <w:szCs w:val="24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教学方式：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主题讲授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案例研讨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实操练习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Times New Roman" w:hAnsi="Times New Roman" w:eastAsia="微软雅黑" w:cs="Times New Roman"/>
          <w:szCs w:val="22"/>
        </w:rPr>
      </w:pPr>
      <w:r>
        <w:rPr>
          <w:rFonts w:hint="eastAsia" w:ascii="Times New Roman" w:hAnsi="Times New Roman" w:eastAsia="微软雅黑" w:cs="Times New Roman"/>
          <w:szCs w:val="22"/>
        </w:rPr>
        <w:t>提问互动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textAlignment w:val="auto"/>
        <w:rPr>
          <w:rFonts w:hint="eastAsia" w:ascii="Times New Roman" w:hAnsi="Times New Roman" w:eastAsia="微软雅黑" w:cs="Times New Roman"/>
          <w:b/>
          <w:color w:val="C00000"/>
          <w:kern w:val="2"/>
          <w:sz w:val="24"/>
          <w:szCs w:val="2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Times New Roman" w:hAnsi="Times New Roman" w:eastAsia="微软雅黑" w:cs="Times New Roman"/>
          <w:b/>
          <w:color w:val="C00000"/>
          <w:kern w:val="2"/>
          <w:sz w:val="24"/>
          <w:szCs w:val="2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参训对象：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eastAsia" w:ascii="Times New Roman" w:hAnsi="Times New Roman" w:eastAsia="微软雅黑" w:cs="Times New Roman"/>
          <w:color w:val="000000"/>
          <w:szCs w:val="22"/>
        </w:rPr>
      </w:pPr>
      <w:r>
        <w:rPr>
          <w:rFonts w:hint="eastAsia" w:ascii="Times New Roman" w:hAnsi="Times New Roman" w:eastAsia="微软雅黑" w:cs="Times New Roman"/>
          <w:color w:val="000000"/>
          <w:szCs w:val="22"/>
        </w:rPr>
        <w:t>企业</w:t>
      </w:r>
      <w:r>
        <w:rPr>
          <w:rFonts w:hint="eastAsia" w:ascii="Times New Roman" w:hAnsi="Times New Roman" w:eastAsia="微软雅黑" w:cs="Times New Roman"/>
          <w:color w:val="000000"/>
          <w:szCs w:val="22"/>
          <w:lang w:eastAsia="zh-CN"/>
        </w:rPr>
        <w:t>各部门</w:t>
      </w:r>
      <w:r>
        <w:rPr>
          <w:rFonts w:hint="eastAsia" w:ascii="Times New Roman" w:hAnsi="Times New Roman" w:eastAsia="微软雅黑" w:cs="Times New Roman"/>
          <w:color w:val="000000"/>
          <w:szCs w:val="22"/>
        </w:rPr>
        <w:t>中高层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课程大纲：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kern w:val="0"/>
          <w:szCs w:val="21"/>
        </w:rPr>
      </w:pPr>
      <w:r>
        <w:rPr>
          <w:rFonts w:hint="eastAsia" w:ascii="Times New Roman" w:hAnsi="Times New Roman" w:eastAsia="微软雅黑" w:cs="Times New Roman"/>
          <w:b/>
          <w:kern w:val="0"/>
          <w:szCs w:val="21"/>
        </w:rPr>
        <w:t xml:space="preserve">薪酬理念和薪酬结构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薪资结构的定义与付薪理念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薪资报酬与福利的定义、概念、种类和作用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岗位工资、绩效工资、个人技能工资、福利工资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职务薪酬制/年薪制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技术/能力薪酬制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薪资、福利及薪酬体系的构成比例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财务性报酬体系和非财务性报酬体系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kern w:val="0"/>
          <w:szCs w:val="21"/>
        </w:rPr>
      </w:pPr>
      <w:r>
        <w:rPr>
          <w:rFonts w:hint="eastAsia" w:ascii="Times New Roman" w:hAnsi="Times New Roman" w:eastAsia="微软雅黑" w:cs="Times New Roman"/>
          <w:b/>
          <w:kern w:val="0"/>
          <w:szCs w:val="21"/>
        </w:rPr>
        <w:t>薪酬设计的方法与薪资调查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薪资结构设计和规划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薪酬设计的原则和设计流程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薪资结构设计要素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薪酬幅宽设计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通过幅宽比例确定每级的最低与最高工资水平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幅度分区与能力评估结果的联系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幅度重叠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幅度分区的应用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薪酬的年度调整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各类不同人员的薪酬设计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薪资调查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薪酬调查的程序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调查问卷的设计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firstLine="0" w:firstLineChars="0"/>
        <w:textAlignment w:val="auto"/>
        <w:rPr>
          <w:rFonts w:hint="eastAsia" w:ascii="Times New Roman" w:hAnsi="Times New Roman" w:eastAsia="微软雅黑" w:cs="Times New Roman"/>
          <w:b/>
          <w:kern w:val="0"/>
          <w:szCs w:val="21"/>
        </w:rPr>
      </w:pPr>
      <w:r>
        <w:rPr>
          <w:rFonts w:hint="eastAsia" w:ascii="Times New Roman" w:hAnsi="Times New Roman" w:eastAsia="微软雅黑" w:cs="Times New Roman"/>
          <w:b/>
          <w:kern w:val="0"/>
          <w:szCs w:val="21"/>
        </w:rPr>
        <w:t>职位分析与职位价值评估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职位分析的目的与因素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职位价值评估的目的与原则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职位价值评估内容和评估要素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5" w:leftChars="0" w:hanging="425" w:firstLineChars="0"/>
        <w:textAlignment w:val="auto"/>
        <w:rPr>
          <w:rFonts w:hint="eastAsia" w:ascii="Times New Roman" w:hAnsi="Times New Roman" w:eastAsia="微软雅黑" w:cs="Times New Roman"/>
          <w:bCs/>
          <w:kern w:val="0"/>
          <w:szCs w:val="21"/>
        </w:rPr>
      </w:pPr>
      <w:r>
        <w:rPr>
          <w:rFonts w:hint="eastAsia" w:ascii="Times New Roman" w:hAnsi="Times New Roman" w:eastAsia="微软雅黑" w:cs="Times New Roman"/>
          <w:bCs/>
          <w:kern w:val="0"/>
          <w:szCs w:val="21"/>
        </w:rPr>
        <w:t>职位评价的各种方法比较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讲师介绍：</w:t>
      </w:r>
      <w:r>
        <w:rPr>
          <w:rFonts w:hint="default" w:ascii="Times New Roman" w:hAnsi="Times New Roman" w:eastAsia="微软雅黑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贾老师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曾历任顾问咨询公司总经理、综合性集团/投资集团公司人力资源总监、大型培训中心经理等职，具有多种背景体制企业经营管理工作经验，二十多年人力资源与管理培训实务心得, 专精于企业内人力资源管理与发展、管理领导技能及企业内部讲师养成的培训，注重简易与实效的工作方法。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授课以实务、启发、引导见长，重视与学员间的互动与交流，使学员能够真正的“学有所得，得之能用”。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现   任：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上海交大海外教育学院特聘讲师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宝钢集团人才开发学院特聘讲师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复旦大学复泰商学院特聘讲师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420" w:leftChars="0" w:firstLine="0" w:firstLineChars="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上海财经大学商学院特聘讲师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主要学习研修：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历史、教育管理心理、工商管理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擅长课程：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《人力资源管理与发展》系列课程、《管理与领导技能》、《企业内讲师训练》系列课程等。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部分内训服务企业：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制造业：宝钢集团、中国商业飞机责任有限公司、松下电器、德国博世、金光（APP）集团、中国石化集团、上海电气集团、夏普（中国）企业集团、惠尔浦电器、协鑫集团、柳工机械股份、东芝信息机器有限公司、日立电梯、新大洲本田、上海造船厂、ABB变压器、松尾钢结构有限公司、三菱电梯、法国拉法基、唐纳森（亚洲）、德国博西华电器、中集（集团）远东集装箱有限公司、和成卫浴、联合利华、宝洁公司、奥迪斯西子电梯、恒力集团、威瑞工具、华立集团、一胜百模具、中纺（股份）有限公司、上海电器科学研究所（集团）有限公司、恩斯克轴承、中海油、圣马纸业、爱普生（中国）、法国液化空气（杭州）有限公司、天正集团、敏实集团、英特普莱特（中国）装饰材料有限公司、上海耀皮玻璃、天地科技股份公司、向兴集团、沪东重机、三花集团、NGK（苏州）环保陶瓷有限公司、普旭真空设备国际贸易（上海）有限公司、上海海立(集团)股份有限公司、申雅密封件有限公司、美卓机械技术（上海）有限公司、快速电梯、特灵空调系统（中国）有限公司、派克汉尼汾管理(上海)有限公司、沙钢股份、科郎设备、舜天船舶股份公司、张家港化工机械股份有限公司、宁波海天集团有限公司、徐工集团、亨通集团、南京康尼机电股份有限公司，三一重机，中轨铁道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汽车业：上海大众、上海通用汽车、长安福特马自达发电机、上海汽车工业(集团)公司、东风本田汽车有限公司、东风康明斯发动机、东风蓝鸟汽车、科世达-华阳汽车电器、联合汽车电子、延峰伟世通、长安马自达、金龙汽车、上海大众联合发展有限公司、长安汽车、泛亚汽车技术有限公司、莱尼线束系统有限公司、上海安吉斯巴鲁汽车销售服务有限公司、清华大学苏州汽车研究院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房产业：汤臣集团、复星集团、金地集团、上海保集集团、金茂集团、仁恒地产、上海绿地商业集团有限公司、上房物业、易居臣信房产、永升旭日集团、宏泉集团、上海万星房产、三盛集团、北京万科、东合置业、中金集团、置信房产、东渡集团、新城房产公司、南银物业、南京第八建筑安装公司、上海三盛宏业投资集团、苏州二建、招商局地产、上海农工商房地产、南京弘泽建设集团，上海久事置业有限公司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电子业：乐金LG显示（广州）有限公司、达丰电脑、英业达集团、中兴通讯有限公司、东方通信集团、苏州三星电子、大唐电信、中国电子科技集团公司第十、十四、十五、二十八研究所、中国电信上海研究院、德国巴鲁夫（上海）、上海惠普、波导股份有限公司、神州数码有限公司、康佳电子、凯虹电子、华威电子、欧亚测量（徕卡）、华虹NEC、创值工业、东软集团、保力马科技、金斯顿芯片、达方电子、明基集团、泰金宝电子、峻凌电子、AMD、英顺达电子、贝岭电子、沪士电子、扬宣电子、广达电脑、上海仪表、扬名光学、楼氏电子、三原电缆、千欣仪器、爱威电子、四川长虹、上海天道启科、华虹集成电路、堡盟电子、怡得乐电子、公牛电器、上海亨通宏普通信技术有限公司、东山精密、精研科技、南京创维、赛腾精密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零售业：瑞表集团、香港新世界百货、上海第一八佰伴、上海东方商厦、三联集团、上海联华超市、华地企业（集团）、永乐家电、苏宁电器、李宁体育、美津浓、美特斯邦威、百安居、国美电器、南京烟草专卖局、法国安达屋、成都道洋电脑、罗兰家纺、利郎服装、美琳凯、相宜本草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信息业：中国移动、中国联通、盛大网络、上海电子商务管理有限公司、上海有线网络有限公司（上海热线）中国(上海)电信、上海邮电通信、法国申美（上海）商品检验检测公司、中国(苏州)电信、湖北通信服务公司、南天电脑系统有限公司、泰为信息技术（上海）有限公司、篱笆网、上海第九城市信息技术有限公司、宝信软件、淘米软件、龙芯梦兰、途牛旅游网、凌志软件股份有限公司、云汉芯城（上海）互联网科技股份有限公司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医药业：新亚药业、百特医疗、宝龙药业、欧姆龙（中国）、信谊药业、中美史克、卫材（中国）药业、纽迪希亚制药、德国拜耳、南京鼓楼医院、上海中山医院、广州医学院第二附属医院、上海长宁妇幼保健医院、信谊金朱药业、上海儿童医院、中华药业、菲尼克斯生物化学（苏州）有限公司、碧迪快速诊断产品（苏州）有限公司、上海腾瑞制药有限公司、海力生制药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运输业：中国远洋运输（集团）、百岁物流、东方航空、上海图书进出口公司、上海大众集团、上海巴士集团、上海沪东集装箱码头有限公司、丹沙中福货运（DHL）、上气销售、上海恒荣货运有限公司、上海磁浮交通、台骅国际、中国国际航空、上海浦东国际集装箱码头有限公司、上海外高桥贸易进出口有限公司、上海东方远航物流有限公司、上海浦东国际机场、云南机场有限责任公司、南京全程物流、大航国际货运有限公司、苏嘉甬高速公路有限公司、南方航空、江苏邮政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金融业：上海浦东发展银行、中国银行、新华人寿、生命人寿、交通银行、交银施罗德基金、国泰君安证券、建设银行、瑞穗实业银行、招商银行、农业银行、建设银行、东吴证券、中国证券登记结算有限责任公司上海分公司 、光大永明人寿保险有限公司、国泰人寿、工商银行、中国人保、中国太保、建信人寿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食品业：统一集团、不凡帝梅特勒糖果、箭牌糖果、海霸王食品、养生堂、东福集团、福喜食品、立顿茶、上海烟草、德之馨香料、上海烟草集团、南京烟草、中萃食品有限公司、农夫山泉、三得利啤酒\食品、贝因美集团、浙江商源食品、英博金陵啤酒有限公司、华润食品饮料（成都）有限公司、格力高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20" w:firstLineChars="200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其  它：韦博英语、德勤会计事务所、中国东方红卫星股份有限公司、上海文广新闻传媒集团（SMG）、上海广电集团（SVA）、上海人民广播电台、文新报业集团、中国电力投资集团、劳氏船级社（中国）有限公司、上海集成电路研究中心秦山核电公司、上海现代设计集团、新华传媒集团、田湾核电公司、华映文化传媒、上海证券报社、国家电网浙江电力、黄河上游水电公司、上海兴国宾馆、武汉国有资产经营公司、中海油能源发展股份有限公司、上海京昆艺术中心、江苏南京地税局、浦东科创集团、上海城投水务（集团）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eastAsia="微软雅黑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/4Ej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BhhJ0kDF&#10;7799vf/+8/7HFwR7INBW2zHELTREut2V2kFwv29h0/PeVabx/8AIgR/kvTvIy3YOUX8oHaRpBC4K&#10;vn4B+OHxuDbWvWKqQd7IsIH6tbKSzdy6LrQP8bdJVXAh2hoKibYZHp6eRe2BgwfAhfSxkAVg7K2u&#10;Np9G0eg6vU6TIBkMr4MkyvNgWsySYFjE52f5aT6b5fFnjxcn45qXJZP+vr5P4uR5ddj3SlfhQ6dY&#10;JXjp4XxK1qyWM2HQhkCfFu3PKwzJPwgLH6fRuoHVE0rxIImuBqOgGKbnQVIkZ8HoPEqDKB5djYZR&#10;Mkry4jGlOZfs3yk9Uv9B0mTsC3bgthSEfvgrNZ/OkRoo0Bcu9H3Y9Zu33G65A4m8uVTlHfSmUd3z&#10;tpoWHC6dE+tuiYH3DD0HE8/dwKcSCvpE7S2MamU+/mnfx0N5wYvRFuZDhiWMQ4zEawnPDwBdb5je&#10;WPaGXDczBYWMYZJq2ppwwDjRm5VRzXsYg1N/B7iIpHBThl1vzlw3o2CMUjadtkFrbfiq7g7A8NDE&#10;zeVCU39N20J6unbwHtpnclQFpPQLGB+tqPtR5+fTw3UbdRzvk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/v/gS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B94D4A"/>
    <w:multiLevelType w:val="singleLevel"/>
    <w:tmpl w:val="E7B94D4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0F6A7DF8"/>
    <w:multiLevelType w:val="singleLevel"/>
    <w:tmpl w:val="0F6A7DF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F4B5654"/>
    <w:multiLevelType w:val="singleLevel"/>
    <w:tmpl w:val="1F4B565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2387B25A"/>
    <w:multiLevelType w:val="singleLevel"/>
    <w:tmpl w:val="2387B25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55626ACB"/>
    <w:multiLevelType w:val="multilevel"/>
    <w:tmpl w:val="55626AC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>
    <w:nsid w:val="5C64B9F2"/>
    <w:multiLevelType w:val="singleLevel"/>
    <w:tmpl w:val="5C64B9F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72953"/>
    <w:rsid w:val="1BE7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Hyperlink"/>
    <w:uiPriority w:val="0"/>
    <w:rPr>
      <w:color w:val="0000FF"/>
      <w:u w:val="single"/>
    </w:rPr>
  </w:style>
  <w:style w:type="paragraph" w:customStyle="1" w:styleId="7">
    <w:name w:val="正文 A"/>
    <w:uiPriority w:val="0"/>
    <w:pPr>
      <w:spacing w:after="200" w:line="276" w:lineRule="auto"/>
    </w:pPr>
    <w:rPr>
      <w:rFonts w:ascii="Calibri" w:hAnsi="Calibri" w:eastAsia="Calibri" w:cs="Calibri"/>
      <w:color w:val="000000"/>
      <w:sz w:val="22"/>
      <w:szCs w:val="22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2021-12-21T09:36:00Z</dcterms:created>
  <dc:creator>强思企管婷婷（渠道报单）</dc:creator>
  <cp:lastModifiedBy>强思企管婷婷（渠道报单）</cp:lastModifiedBy>
  <dcterms:modified xsi:type="dcterms:W3CDTF">2021-12-21T09:37:31Z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87DC8EDF5D824F65847D5099333C7EEA</vt:lpwstr>
  </property>
</Properties>
</file>