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微软雅黑"/>
          <w:b/>
          <w:color w:val="0000FF"/>
          <w:sz w:val="44"/>
        </w:rPr>
      </w:pPr>
      <w:r>
        <w:rPr>
          <w:rFonts w:hint="eastAsia" w:eastAsia="微软雅黑"/>
          <w:b/>
          <w:color w:val="0000FF"/>
          <w:sz w:val="44"/>
        </w:rPr>
        <w:t>供应商开发、选择、考核与关系管理</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p>
    <w:p>
      <w:pPr>
        <w:spacing w:line="480" w:lineRule="exact"/>
        <w:rPr>
          <w:rFonts w:hint="eastAsia" w:eastAsia="微软雅黑"/>
          <w:b/>
          <w:color w:val="000000"/>
          <w:szCs w:val="21"/>
        </w:rPr>
      </w:pPr>
      <w:r>
        <w:rPr>
          <w:rFonts w:eastAsia="微软雅黑"/>
          <w:b/>
          <w:color w:val="C00000"/>
          <w:sz w:val="24"/>
          <w:szCs w:val="24"/>
          <w14:shadow w14:blurRad="50800" w14:dist="38100" w14:dir="2700000" w14:sx="100000" w14:sy="100000" w14:kx="0" w14:ky="0" w14:algn="tl">
            <w14:srgbClr w14:val="000000">
              <w14:alpha w14:val="60000"/>
            </w14:srgbClr>
          </w14:shadow>
        </w:rPr>
        <w:t>培训时间/地点：</w:t>
      </w:r>
      <w:r>
        <w:rPr>
          <w:rFonts w:eastAsia="微软雅黑"/>
          <w:b/>
          <w:color w:val="000000"/>
          <w:szCs w:val="21"/>
        </w:rPr>
        <w:t>202</w:t>
      </w:r>
      <w:r>
        <w:rPr>
          <w:rFonts w:hint="eastAsia" w:eastAsia="微软雅黑"/>
          <w:b/>
          <w:color w:val="000000"/>
          <w:szCs w:val="21"/>
        </w:rPr>
        <w:t>2</w:t>
      </w:r>
      <w:r>
        <w:rPr>
          <w:rFonts w:eastAsia="微软雅黑"/>
          <w:b/>
          <w:color w:val="000000"/>
          <w:szCs w:val="21"/>
        </w:rPr>
        <w:t>年</w:t>
      </w:r>
      <w:r>
        <w:rPr>
          <w:rFonts w:hint="eastAsia" w:eastAsia="微软雅黑"/>
          <w:b/>
          <w:color w:val="000000"/>
          <w:szCs w:val="21"/>
        </w:rPr>
        <w:t>8</w:t>
      </w:r>
      <w:r>
        <w:rPr>
          <w:rFonts w:eastAsia="微软雅黑"/>
          <w:b/>
          <w:color w:val="000000"/>
          <w:szCs w:val="21"/>
        </w:rPr>
        <w:t>月</w:t>
      </w:r>
      <w:r>
        <w:rPr>
          <w:rFonts w:hint="eastAsia" w:eastAsia="微软雅黑"/>
          <w:b/>
          <w:color w:val="000000"/>
          <w:szCs w:val="21"/>
        </w:rPr>
        <w:t>27~28</w:t>
      </w:r>
      <w:r>
        <w:rPr>
          <w:rFonts w:eastAsia="微软雅黑"/>
          <w:b/>
          <w:color w:val="000000"/>
          <w:szCs w:val="21"/>
        </w:rPr>
        <w:t>日（星期</w:t>
      </w:r>
      <w:r>
        <w:rPr>
          <w:rFonts w:hint="eastAsia" w:eastAsia="微软雅黑"/>
          <w:b/>
          <w:color w:val="000000"/>
          <w:szCs w:val="21"/>
        </w:rPr>
        <w:t xml:space="preserve">六 </w:t>
      </w:r>
      <w:r>
        <w:rPr>
          <w:rFonts w:eastAsia="微软雅黑"/>
          <w:b/>
          <w:color w:val="000000"/>
          <w:szCs w:val="21"/>
        </w:rPr>
        <w:t>~</w:t>
      </w:r>
      <w:r>
        <w:rPr>
          <w:rFonts w:hint="eastAsia" w:eastAsia="微软雅黑"/>
          <w:b/>
          <w:color w:val="000000"/>
          <w:szCs w:val="21"/>
        </w:rPr>
        <w:t xml:space="preserve"> </w:t>
      </w:r>
      <w:r>
        <w:rPr>
          <w:rFonts w:eastAsia="微软雅黑"/>
          <w:b/>
          <w:color w:val="000000"/>
          <w:szCs w:val="21"/>
        </w:rPr>
        <w:t>星期</w:t>
      </w:r>
      <w:r>
        <w:rPr>
          <w:rFonts w:hint="eastAsia" w:eastAsia="微软雅黑"/>
          <w:b/>
          <w:color w:val="000000"/>
          <w:szCs w:val="21"/>
        </w:rPr>
        <w:t>日</w:t>
      </w:r>
      <w:r>
        <w:rPr>
          <w:rFonts w:eastAsia="微软雅黑"/>
          <w:b/>
          <w:color w:val="000000"/>
          <w:szCs w:val="21"/>
        </w:rPr>
        <w:t>）</w:t>
      </w:r>
      <w:r>
        <w:rPr>
          <w:rFonts w:hint="eastAsia" w:eastAsia="微软雅黑"/>
          <w:b/>
          <w:color w:val="000000"/>
          <w:szCs w:val="21"/>
        </w:rPr>
        <w:t>/线 上</w:t>
      </w:r>
    </w:p>
    <w:p>
      <w:pPr>
        <w:spacing w:line="480" w:lineRule="exact"/>
        <w:rPr>
          <w:rFonts w:eastAsia="微软雅黑"/>
          <w:b/>
          <w:szCs w:val="21"/>
        </w:rPr>
      </w:pPr>
      <w:r>
        <w:rPr>
          <w:rFonts w:eastAsia="微软雅黑"/>
          <w:b/>
          <w:color w:val="C00000"/>
          <w:sz w:val="24"/>
          <w:szCs w:val="24"/>
          <w14:shadow w14:blurRad="50800" w14:dist="38100" w14:dir="2700000" w14:sx="100000" w14:sy="100000" w14:kx="0" w14:ky="0" w14:algn="tl">
            <w14:srgbClr w14:val="000000">
              <w14:alpha w14:val="60000"/>
            </w14:srgbClr>
          </w14:shadow>
        </w:rPr>
        <w:t>收费标准：</w:t>
      </w:r>
      <w:r>
        <w:rPr>
          <w:rFonts w:eastAsia="微软雅黑"/>
          <w:b/>
          <w:szCs w:val="21"/>
        </w:rPr>
        <w:t>￥4</w:t>
      </w:r>
      <w:r>
        <w:rPr>
          <w:rFonts w:hint="eastAsia" w:eastAsia="微软雅黑"/>
          <w:b/>
          <w:szCs w:val="21"/>
        </w:rPr>
        <w:t>5</w:t>
      </w:r>
      <w:r>
        <w:rPr>
          <w:rFonts w:eastAsia="微软雅黑"/>
          <w:b/>
          <w:szCs w:val="21"/>
        </w:rPr>
        <w:t>00/人</w:t>
      </w:r>
    </w:p>
    <w:p>
      <w:pPr>
        <w:numPr>
          <w:ilvl w:val="0"/>
          <w:numId w:val="1"/>
        </w:numPr>
        <w:spacing w:line="480" w:lineRule="exact"/>
        <w:ind w:left="0" w:firstLine="0"/>
        <w:jc w:val="left"/>
        <w:rPr>
          <w:rFonts w:hint="eastAsia" w:eastAsia="微软雅黑"/>
          <w:bCs/>
          <w:szCs w:val="21"/>
        </w:rPr>
      </w:pPr>
      <w:r>
        <w:rPr>
          <w:rFonts w:eastAsia="微软雅黑"/>
          <w:bCs/>
          <w:szCs w:val="21"/>
        </w:rPr>
        <w:t>含授课费、证书费、资料费</w:t>
      </w:r>
    </w:p>
    <w:p>
      <w:pPr>
        <w:tabs>
          <w:tab w:val="left" w:pos="3858"/>
        </w:tabs>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p>
    <w:p>
      <w:pPr>
        <w:spacing w:line="480" w:lineRule="exact"/>
        <w:jc w:val="lef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课程目标：</w:t>
      </w:r>
    </w:p>
    <w:p>
      <w:pPr>
        <w:spacing w:line="480" w:lineRule="exact"/>
        <w:ind w:firstLine="420" w:firstLineChars="200"/>
        <w:rPr>
          <w:rFonts w:eastAsia="微软雅黑"/>
        </w:rPr>
      </w:pPr>
      <w:r>
        <w:rPr>
          <w:rFonts w:eastAsia="微软雅黑"/>
        </w:rPr>
        <w:t>供应商是企业不可或缺的合作伙伴，强有力的供应商群体是企业优良质量、高效运营、出色服务的坚实基础。随着竞争程度的加剧、竞争对手的管理水平日益提升、运营成本的整体上扬、以及客户要求的日益增高，企业亟需把优质供应商作为一种稀缺资源有序、有效、全面地管理起来。</w:t>
      </w:r>
    </w:p>
    <w:p>
      <w:pPr>
        <w:spacing w:line="480" w:lineRule="exact"/>
        <w:ind w:firstLine="420" w:firstLineChars="200"/>
        <w:rPr>
          <w:rFonts w:eastAsia="微软雅黑"/>
        </w:rPr>
      </w:pPr>
      <w:r>
        <w:rPr>
          <w:rFonts w:eastAsia="微软雅黑"/>
        </w:rPr>
        <w:t>本次课程的内容设置依据历年来为多家制造业、零售业、物流企业的培训积累，结合近年来与多个业务团队的访谈、合作、实地考察所获得的第一手资料，参考了国内外先进供应链管理理论，并融入了讲师本人在多个行业和多家企业的实际工作经验。具体内容包括：供应商策略的制定、供应商开发与优化、供应商绩效管理、供应商能力提升与改善、供应管理、风险管理等。丰富的实际案例将贯穿整个课程以辅助学员理解。</w:t>
      </w:r>
    </w:p>
    <w:p>
      <w:pPr>
        <w:spacing w:line="480" w:lineRule="exact"/>
        <w:jc w:val="left"/>
        <w:rPr>
          <w:rFonts w:eastAsia="微软雅黑"/>
          <w:b/>
          <w:color w:val="C00000"/>
          <w:sz w:val="24"/>
          <w:szCs w:val="24"/>
          <w14:shadow w14:blurRad="50800" w14:dist="38100" w14:dir="2700000" w14:sx="100000" w14:sy="100000" w14:kx="0" w14:ky="0" w14:algn="tl">
            <w14:srgbClr w14:val="000000">
              <w14:alpha w14:val="60000"/>
            </w14:srgbClr>
          </w14:shadow>
        </w:rPr>
      </w:pPr>
    </w:p>
    <w:p>
      <w:pPr>
        <w:spacing w:line="480" w:lineRule="exact"/>
        <w:jc w:val="lef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课程收益：</w:t>
      </w:r>
    </w:p>
    <w:p>
      <w:pPr>
        <w:spacing w:line="480" w:lineRule="exact"/>
        <w:rPr>
          <w:rFonts w:eastAsia="微软雅黑"/>
        </w:rPr>
      </w:pPr>
      <w:r>
        <w:rPr>
          <w:rFonts w:eastAsia="微软雅黑"/>
        </w:rPr>
        <w:t>本次课程旨在向学员们给出现代供应商管理的全景图，为企业的供应链管理和采购管理团队提供制定策略、策略落地、绩效改善、规避供应商风险的必要参考。通过本次课程，学员们将会：</w:t>
      </w:r>
    </w:p>
    <w:p>
      <w:pPr>
        <w:numPr>
          <w:ilvl w:val="0"/>
          <w:numId w:val="2"/>
        </w:numPr>
        <w:spacing w:line="480" w:lineRule="exact"/>
        <w:rPr>
          <w:rFonts w:eastAsia="微软雅黑"/>
        </w:rPr>
      </w:pPr>
      <w:r>
        <w:rPr>
          <w:rFonts w:eastAsia="微软雅黑"/>
        </w:rPr>
        <w:t>了解现代供应链发展中供应商管理的核心内容</w:t>
      </w:r>
    </w:p>
    <w:p>
      <w:pPr>
        <w:numPr>
          <w:ilvl w:val="0"/>
          <w:numId w:val="2"/>
        </w:numPr>
        <w:spacing w:line="480" w:lineRule="exact"/>
        <w:rPr>
          <w:rFonts w:eastAsia="微软雅黑"/>
        </w:rPr>
      </w:pPr>
      <w:r>
        <w:rPr>
          <w:rFonts w:eastAsia="微软雅黑"/>
        </w:rPr>
        <w:t>从供应链全角度重新认知供应商管理的关键工作</w:t>
      </w:r>
    </w:p>
    <w:p>
      <w:pPr>
        <w:numPr>
          <w:ilvl w:val="0"/>
          <w:numId w:val="2"/>
        </w:numPr>
        <w:spacing w:line="480" w:lineRule="exact"/>
        <w:rPr>
          <w:rFonts w:eastAsia="微软雅黑"/>
        </w:rPr>
      </w:pPr>
      <w:r>
        <w:rPr>
          <w:rFonts w:eastAsia="微软雅黑"/>
        </w:rPr>
        <w:t>掌握采购寻源、供应商导入/退出、供应商审核、考核等的一系列基本流程</w:t>
      </w:r>
    </w:p>
    <w:p>
      <w:pPr>
        <w:numPr>
          <w:ilvl w:val="0"/>
          <w:numId w:val="2"/>
        </w:numPr>
        <w:spacing w:line="480" w:lineRule="exact"/>
        <w:rPr>
          <w:rFonts w:eastAsia="微软雅黑"/>
        </w:rPr>
      </w:pPr>
      <w:r>
        <w:rPr>
          <w:rFonts w:eastAsia="微软雅黑"/>
        </w:rPr>
        <w:t>了解供应商全生命周期管理的框架</w:t>
      </w:r>
    </w:p>
    <w:p>
      <w:pPr>
        <w:numPr>
          <w:ilvl w:val="0"/>
          <w:numId w:val="2"/>
        </w:numPr>
        <w:spacing w:line="480" w:lineRule="exact"/>
        <w:rPr>
          <w:rFonts w:eastAsia="微软雅黑"/>
        </w:rPr>
      </w:pPr>
      <w:r>
        <w:rPr>
          <w:rFonts w:eastAsia="微软雅黑"/>
        </w:rPr>
        <w:t>通过举例理解各种采购降本办法与供应商协同时的具体运用</w:t>
      </w:r>
    </w:p>
    <w:p>
      <w:pPr>
        <w:numPr>
          <w:ilvl w:val="0"/>
          <w:numId w:val="2"/>
        </w:numPr>
        <w:spacing w:line="480" w:lineRule="exact"/>
        <w:rPr>
          <w:rFonts w:eastAsia="微软雅黑"/>
        </w:rPr>
      </w:pPr>
      <w:r>
        <w:rPr>
          <w:rFonts w:eastAsia="微软雅黑"/>
        </w:rPr>
        <w:t>懂得如何识别与规避供应商管理中的风险，并同时进行优化</w:t>
      </w:r>
    </w:p>
    <w:p>
      <w:pPr>
        <w:numPr>
          <w:ilvl w:val="0"/>
          <w:numId w:val="2"/>
        </w:numPr>
        <w:spacing w:line="480" w:lineRule="exact"/>
        <w:rPr>
          <w:rFonts w:eastAsia="微软雅黑"/>
        </w:rPr>
      </w:pPr>
      <w:r>
        <w:rPr>
          <w:rFonts w:eastAsia="微软雅黑"/>
        </w:rPr>
        <w:t>通过理解供应商关系管理的结构，并在课堂中的角色扮演，能融会贯通课程内容且在工作中进行实操</w:t>
      </w:r>
    </w:p>
    <w:p>
      <w:pPr>
        <w:spacing w:line="480" w:lineRule="exact"/>
        <w:jc w:val="left"/>
        <w:rPr>
          <w:rFonts w:eastAsia="微软雅黑"/>
          <w:b/>
          <w:color w:val="C00000"/>
          <w:sz w:val="24"/>
          <w:szCs w:val="24"/>
          <w14:shadow w14:blurRad="50800" w14:dist="38100" w14:dir="2700000" w14:sx="100000" w14:sy="100000" w14:kx="0" w14:ky="0" w14:algn="tl">
            <w14:srgbClr w14:val="000000">
              <w14:alpha w14:val="60000"/>
            </w14:srgbClr>
          </w14:shadow>
        </w:rPr>
      </w:pPr>
    </w:p>
    <w:p>
      <w:pPr>
        <w:spacing w:line="480" w:lineRule="exact"/>
        <w:jc w:val="lef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参训对象：</w:t>
      </w:r>
    </w:p>
    <w:p>
      <w:pPr>
        <w:spacing w:line="480" w:lineRule="exact"/>
        <w:ind w:firstLine="420" w:firstLineChars="200"/>
        <w:rPr>
          <w:rFonts w:eastAsia="微软雅黑"/>
        </w:rPr>
      </w:pPr>
      <w:r>
        <w:rPr>
          <w:rFonts w:eastAsia="微软雅黑"/>
        </w:rPr>
        <w:t>供应链管理经理、采购经理、生产经理、SQE经理、采购主管、采购人员等相关人士</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授课形式：</w:t>
      </w:r>
    </w:p>
    <w:p>
      <w:pPr>
        <w:spacing w:line="480" w:lineRule="exact"/>
        <w:ind w:firstLine="420" w:firstLineChars="200"/>
        <w:rPr>
          <w:rFonts w:hint="eastAsia" w:eastAsia="微软雅黑"/>
        </w:rPr>
      </w:pPr>
      <w:r>
        <w:rPr>
          <w:rFonts w:eastAsia="微软雅黑"/>
        </w:rPr>
        <w:t>知识讲解、案例分析讨论、角色演练、互动交流、头脑风暴、强调学员参与。</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课程大纲：</w:t>
      </w:r>
    </w:p>
    <w:p>
      <w:pPr>
        <w:spacing w:line="480" w:lineRule="exact"/>
        <w:rPr>
          <w:rFonts w:eastAsia="微软雅黑"/>
          <w:b/>
          <w:color w:val="000000"/>
          <w:sz w:val="24"/>
          <w:szCs w:val="22"/>
        </w:rPr>
      </w:pPr>
      <w:r>
        <w:rPr>
          <w:rFonts w:eastAsia="微软雅黑"/>
          <w:b/>
          <w:color w:val="000000"/>
          <w:sz w:val="24"/>
          <w:szCs w:val="22"/>
        </w:rPr>
        <w:t>第一天</w:t>
      </w:r>
    </w:p>
    <w:p>
      <w:pPr>
        <w:numPr>
          <w:ilvl w:val="0"/>
          <w:numId w:val="3"/>
        </w:numPr>
        <w:tabs>
          <w:tab w:val="left" w:pos="426"/>
        </w:tabs>
        <w:spacing w:line="480" w:lineRule="exact"/>
        <w:rPr>
          <w:rFonts w:eastAsia="微软雅黑"/>
          <w:b/>
          <w:bCs/>
          <w:szCs w:val="21"/>
        </w:rPr>
      </w:pPr>
      <w:r>
        <w:rPr>
          <w:rFonts w:eastAsia="微软雅黑"/>
          <w:b/>
          <w:bCs/>
          <w:szCs w:val="21"/>
        </w:rPr>
        <w:t>供应商管理基础</w:t>
      </w:r>
    </w:p>
    <w:p>
      <w:pPr>
        <w:numPr>
          <w:ilvl w:val="0"/>
          <w:numId w:val="4"/>
        </w:numPr>
        <w:spacing w:line="480" w:lineRule="exact"/>
        <w:rPr>
          <w:rFonts w:eastAsia="微软雅黑"/>
        </w:rPr>
      </w:pPr>
      <w:r>
        <w:rPr>
          <w:rFonts w:eastAsia="微软雅黑"/>
        </w:rPr>
        <w:t>供应链成熟度模型</w:t>
      </w:r>
    </w:p>
    <w:p>
      <w:pPr>
        <w:numPr>
          <w:ilvl w:val="0"/>
          <w:numId w:val="4"/>
        </w:numPr>
        <w:spacing w:line="480" w:lineRule="exact"/>
        <w:rPr>
          <w:rFonts w:eastAsia="微软雅黑"/>
        </w:rPr>
      </w:pPr>
      <w:r>
        <w:rPr>
          <w:rFonts w:eastAsia="微软雅黑"/>
        </w:rPr>
        <w:t>供应商管理的战略目标</w:t>
      </w:r>
    </w:p>
    <w:p>
      <w:pPr>
        <w:numPr>
          <w:ilvl w:val="0"/>
          <w:numId w:val="4"/>
        </w:numPr>
        <w:spacing w:line="480" w:lineRule="exact"/>
        <w:rPr>
          <w:rFonts w:eastAsia="微软雅黑"/>
        </w:rPr>
      </w:pPr>
      <w:r>
        <w:rPr>
          <w:rFonts w:eastAsia="微软雅黑"/>
        </w:rPr>
        <w:t>采购管理的房屋模型</w:t>
      </w:r>
    </w:p>
    <w:p>
      <w:pPr>
        <w:numPr>
          <w:ilvl w:val="0"/>
          <w:numId w:val="3"/>
        </w:numPr>
        <w:tabs>
          <w:tab w:val="left" w:pos="426"/>
        </w:tabs>
        <w:spacing w:line="480" w:lineRule="exact"/>
        <w:rPr>
          <w:rFonts w:eastAsia="微软雅黑"/>
          <w:b/>
          <w:bCs/>
          <w:szCs w:val="21"/>
        </w:rPr>
      </w:pPr>
      <w:r>
        <w:rPr>
          <w:rFonts w:eastAsia="微软雅黑"/>
          <w:b/>
          <w:bCs/>
          <w:szCs w:val="21"/>
        </w:rPr>
        <w:t>供应市场调查与分析</w:t>
      </w:r>
    </w:p>
    <w:p>
      <w:pPr>
        <w:numPr>
          <w:ilvl w:val="0"/>
          <w:numId w:val="5"/>
        </w:numPr>
        <w:spacing w:line="480" w:lineRule="exact"/>
        <w:rPr>
          <w:rFonts w:eastAsia="微软雅黑"/>
        </w:rPr>
      </w:pPr>
      <w:r>
        <w:rPr>
          <w:rFonts w:eastAsia="微软雅黑"/>
        </w:rPr>
        <w:t>供需均衡理论</w:t>
      </w:r>
    </w:p>
    <w:p>
      <w:pPr>
        <w:numPr>
          <w:ilvl w:val="0"/>
          <w:numId w:val="5"/>
        </w:numPr>
        <w:spacing w:line="480" w:lineRule="exact"/>
        <w:rPr>
          <w:rFonts w:eastAsia="微软雅黑"/>
        </w:rPr>
      </w:pPr>
      <w:r>
        <w:rPr>
          <w:rFonts w:eastAsia="微软雅黑"/>
        </w:rPr>
        <w:t>宏观经济学常用术语和概念</w:t>
      </w:r>
    </w:p>
    <w:p>
      <w:pPr>
        <w:numPr>
          <w:ilvl w:val="0"/>
          <w:numId w:val="5"/>
        </w:numPr>
        <w:spacing w:line="480" w:lineRule="exact"/>
        <w:rPr>
          <w:rFonts w:eastAsia="微软雅黑"/>
        </w:rPr>
      </w:pPr>
      <w:r>
        <w:rPr>
          <w:rFonts w:eastAsia="微软雅黑"/>
        </w:rPr>
        <w:t>宏观经济指数在供应市场中的应用</w:t>
      </w:r>
    </w:p>
    <w:p>
      <w:pPr>
        <w:numPr>
          <w:ilvl w:val="0"/>
          <w:numId w:val="5"/>
        </w:numPr>
        <w:spacing w:line="480" w:lineRule="exact"/>
        <w:rPr>
          <w:rFonts w:eastAsia="微软雅黑"/>
        </w:rPr>
      </w:pPr>
      <w:r>
        <w:rPr>
          <w:rFonts w:eastAsia="微软雅黑"/>
        </w:rPr>
        <w:t>市场竞争关系的波特5力模型</w:t>
      </w:r>
    </w:p>
    <w:p>
      <w:pPr>
        <w:numPr>
          <w:ilvl w:val="0"/>
          <w:numId w:val="5"/>
        </w:numPr>
        <w:spacing w:line="480" w:lineRule="exact"/>
        <w:rPr>
          <w:rFonts w:eastAsia="微软雅黑"/>
        </w:rPr>
      </w:pPr>
      <w:r>
        <w:rPr>
          <w:rFonts w:eastAsia="微软雅黑"/>
        </w:rPr>
        <w:t>市场竞争的4种类型</w:t>
      </w:r>
    </w:p>
    <w:p>
      <w:pPr>
        <w:numPr>
          <w:ilvl w:val="0"/>
          <w:numId w:val="3"/>
        </w:numPr>
        <w:tabs>
          <w:tab w:val="left" w:pos="426"/>
        </w:tabs>
        <w:spacing w:line="480" w:lineRule="exact"/>
        <w:rPr>
          <w:rFonts w:eastAsia="微软雅黑"/>
          <w:b/>
          <w:bCs/>
          <w:szCs w:val="21"/>
        </w:rPr>
      </w:pPr>
      <w:r>
        <w:rPr>
          <w:rFonts w:eastAsia="微软雅黑"/>
          <w:b/>
          <w:bCs/>
          <w:szCs w:val="21"/>
        </w:rPr>
        <w:t>供应商开发</w:t>
      </w:r>
    </w:p>
    <w:p>
      <w:pPr>
        <w:numPr>
          <w:ilvl w:val="0"/>
          <w:numId w:val="6"/>
        </w:numPr>
        <w:spacing w:line="480" w:lineRule="exact"/>
        <w:rPr>
          <w:rFonts w:eastAsia="微软雅黑"/>
        </w:rPr>
      </w:pPr>
      <w:r>
        <w:rPr>
          <w:rFonts w:eastAsia="微软雅黑"/>
        </w:rPr>
        <w:t>战略寻源7步法</w:t>
      </w:r>
    </w:p>
    <w:p>
      <w:pPr>
        <w:numPr>
          <w:ilvl w:val="0"/>
          <w:numId w:val="6"/>
        </w:numPr>
        <w:spacing w:line="480" w:lineRule="exact"/>
        <w:rPr>
          <w:rFonts w:eastAsia="微软雅黑"/>
        </w:rPr>
      </w:pPr>
      <w:r>
        <w:rPr>
          <w:rFonts w:eastAsia="微软雅黑"/>
        </w:rPr>
        <w:t>内部需求分析：自发式寻源</w:t>
      </w:r>
    </w:p>
    <w:p>
      <w:pPr>
        <w:numPr>
          <w:ilvl w:val="0"/>
          <w:numId w:val="6"/>
        </w:numPr>
        <w:spacing w:line="480" w:lineRule="exact"/>
        <w:rPr>
          <w:rFonts w:eastAsia="微软雅黑"/>
        </w:rPr>
      </w:pPr>
      <w:r>
        <w:rPr>
          <w:rFonts w:eastAsia="微软雅黑"/>
        </w:rPr>
        <w:t>供应商生命曲线和供应商路线</w:t>
      </w:r>
    </w:p>
    <w:p>
      <w:pPr>
        <w:numPr>
          <w:ilvl w:val="0"/>
          <w:numId w:val="6"/>
        </w:numPr>
        <w:spacing w:line="480" w:lineRule="exact"/>
        <w:rPr>
          <w:rFonts w:eastAsia="微软雅黑"/>
        </w:rPr>
      </w:pPr>
      <w:r>
        <w:rPr>
          <w:rFonts w:eastAsia="微软雅黑"/>
        </w:rPr>
        <w:t>供应商评估标准的产生机制</w:t>
      </w:r>
    </w:p>
    <w:p>
      <w:pPr>
        <w:numPr>
          <w:ilvl w:val="0"/>
          <w:numId w:val="6"/>
        </w:numPr>
        <w:spacing w:line="480" w:lineRule="exact"/>
        <w:rPr>
          <w:rFonts w:eastAsia="微软雅黑"/>
        </w:rPr>
      </w:pPr>
      <w:r>
        <w:rPr>
          <w:rFonts w:eastAsia="微软雅黑"/>
        </w:rPr>
        <w:t>供应商审核流程与操作方法</w:t>
      </w:r>
    </w:p>
    <w:p>
      <w:pPr>
        <w:numPr>
          <w:ilvl w:val="0"/>
          <w:numId w:val="6"/>
        </w:numPr>
        <w:spacing w:line="480" w:lineRule="exact"/>
        <w:rPr>
          <w:rFonts w:eastAsia="微软雅黑"/>
        </w:rPr>
      </w:pPr>
      <w:r>
        <w:rPr>
          <w:rFonts w:eastAsia="微软雅黑"/>
        </w:rPr>
        <w:t>供应商风险评估</w:t>
      </w:r>
    </w:p>
    <w:p>
      <w:pPr>
        <w:numPr>
          <w:ilvl w:val="0"/>
          <w:numId w:val="6"/>
        </w:numPr>
        <w:spacing w:line="480" w:lineRule="exact"/>
        <w:rPr>
          <w:rFonts w:eastAsia="微软雅黑"/>
        </w:rPr>
      </w:pPr>
      <w:r>
        <w:rPr>
          <w:rFonts w:eastAsia="微软雅黑"/>
        </w:rPr>
        <w:t>供应商选择机制</w:t>
      </w:r>
    </w:p>
    <w:p>
      <w:pPr>
        <w:numPr>
          <w:ilvl w:val="0"/>
          <w:numId w:val="6"/>
        </w:numPr>
        <w:spacing w:line="480" w:lineRule="exact"/>
        <w:rPr>
          <w:rFonts w:eastAsia="微软雅黑"/>
        </w:rPr>
      </w:pPr>
      <w:r>
        <w:rPr>
          <w:rFonts w:eastAsia="微软雅黑"/>
        </w:rPr>
        <w:t>合同管理：采购/质量/物流等</w:t>
      </w:r>
    </w:p>
    <w:p>
      <w:pPr>
        <w:numPr>
          <w:ilvl w:val="0"/>
          <w:numId w:val="6"/>
        </w:numPr>
        <w:spacing w:line="480" w:lineRule="exact"/>
        <w:rPr>
          <w:rFonts w:eastAsia="微软雅黑"/>
        </w:rPr>
      </w:pPr>
      <w:r>
        <w:rPr>
          <w:rFonts w:eastAsia="微软雅黑"/>
        </w:rPr>
        <w:t>ESI和Design-in的供应商</w:t>
      </w:r>
    </w:p>
    <w:p>
      <w:pPr>
        <w:numPr>
          <w:ilvl w:val="0"/>
          <w:numId w:val="3"/>
        </w:numPr>
        <w:tabs>
          <w:tab w:val="left" w:pos="426"/>
        </w:tabs>
        <w:spacing w:line="480" w:lineRule="exact"/>
        <w:rPr>
          <w:rFonts w:eastAsia="微软雅黑"/>
          <w:b/>
          <w:bCs/>
          <w:szCs w:val="21"/>
        </w:rPr>
      </w:pPr>
      <w:r>
        <w:rPr>
          <w:rFonts w:eastAsia="微软雅黑"/>
          <w:b/>
          <w:bCs/>
          <w:szCs w:val="21"/>
        </w:rPr>
        <w:t>供应商考核与评估</w:t>
      </w:r>
    </w:p>
    <w:p>
      <w:pPr>
        <w:numPr>
          <w:ilvl w:val="0"/>
          <w:numId w:val="7"/>
        </w:numPr>
        <w:spacing w:line="480" w:lineRule="exact"/>
        <w:rPr>
          <w:rFonts w:eastAsia="微软雅黑"/>
        </w:rPr>
      </w:pPr>
      <w:r>
        <w:rPr>
          <w:rFonts w:eastAsia="微软雅黑"/>
        </w:rPr>
        <w:t xml:space="preserve">供应商身份证ID Card </w:t>
      </w:r>
    </w:p>
    <w:p>
      <w:pPr>
        <w:numPr>
          <w:ilvl w:val="0"/>
          <w:numId w:val="7"/>
        </w:numPr>
        <w:spacing w:line="480" w:lineRule="exact"/>
        <w:rPr>
          <w:rFonts w:eastAsia="微软雅黑"/>
        </w:rPr>
      </w:pPr>
      <w:r>
        <w:rPr>
          <w:rFonts w:eastAsia="微软雅黑"/>
        </w:rPr>
        <w:t>供应商考核的操作流程</w:t>
      </w:r>
    </w:p>
    <w:p>
      <w:pPr>
        <w:numPr>
          <w:ilvl w:val="0"/>
          <w:numId w:val="7"/>
        </w:numPr>
        <w:spacing w:line="480" w:lineRule="exact"/>
        <w:rPr>
          <w:rFonts w:eastAsia="微软雅黑"/>
        </w:rPr>
      </w:pPr>
      <w:r>
        <w:rPr>
          <w:rFonts w:eastAsia="微软雅黑"/>
        </w:rPr>
        <w:t>供应商考核的SMART原则</w:t>
      </w:r>
    </w:p>
    <w:p>
      <w:pPr>
        <w:numPr>
          <w:ilvl w:val="0"/>
          <w:numId w:val="7"/>
        </w:numPr>
        <w:spacing w:line="480" w:lineRule="exact"/>
        <w:rPr>
          <w:rFonts w:eastAsia="微软雅黑"/>
        </w:rPr>
      </w:pPr>
      <w:r>
        <w:rPr>
          <w:rFonts w:eastAsia="微软雅黑"/>
        </w:rPr>
        <w:t>供应商KPI的选择、数据来源及计算打分方法</w:t>
      </w:r>
    </w:p>
    <w:p>
      <w:pPr>
        <w:numPr>
          <w:ilvl w:val="0"/>
          <w:numId w:val="7"/>
        </w:numPr>
        <w:spacing w:line="480" w:lineRule="exact"/>
        <w:rPr>
          <w:rFonts w:eastAsia="微软雅黑"/>
        </w:rPr>
      </w:pPr>
      <w:r>
        <w:rPr>
          <w:rFonts w:eastAsia="微软雅黑"/>
        </w:rPr>
        <w:t>季度考核绩效回顾QBR的流程</w:t>
      </w:r>
    </w:p>
    <w:p>
      <w:pPr>
        <w:numPr>
          <w:ilvl w:val="0"/>
          <w:numId w:val="7"/>
        </w:numPr>
        <w:spacing w:line="480" w:lineRule="exact"/>
        <w:rPr>
          <w:rFonts w:eastAsia="微软雅黑"/>
        </w:rPr>
      </w:pPr>
      <w:r>
        <w:rPr>
          <w:rFonts w:eastAsia="微软雅黑"/>
        </w:rPr>
        <w:t>供应商审核的类型：质量、技术、过程及合规</w:t>
      </w:r>
    </w:p>
    <w:p>
      <w:pPr>
        <w:spacing w:line="480" w:lineRule="exact"/>
        <w:ind w:right="422" w:rightChars="201"/>
        <w:rPr>
          <w:rFonts w:eastAsia="微软雅黑"/>
          <w:b/>
          <w:bCs/>
          <w:sz w:val="24"/>
        </w:rPr>
      </w:pPr>
    </w:p>
    <w:p>
      <w:pPr>
        <w:spacing w:line="480" w:lineRule="exact"/>
        <w:ind w:right="422" w:rightChars="201"/>
      </w:pPr>
      <w:r>
        <w:rPr>
          <w:rFonts w:eastAsia="微软雅黑"/>
          <w:b/>
          <w:bCs/>
          <w:sz w:val="24"/>
        </w:rPr>
        <w:t>第二天</w:t>
      </w:r>
    </w:p>
    <w:p>
      <w:pPr>
        <w:numPr>
          <w:ilvl w:val="0"/>
          <w:numId w:val="3"/>
        </w:numPr>
        <w:tabs>
          <w:tab w:val="left" w:pos="426"/>
        </w:tabs>
        <w:spacing w:line="480" w:lineRule="exact"/>
        <w:rPr>
          <w:rFonts w:eastAsia="微软雅黑"/>
          <w:b/>
          <w:bCs/>
          <w:szCs w:val="21"/>
        </w:rPr>
      </w:pPr>
      <w:r>
        <w:rPr>
          <w:rFonts w:eastAsia="微软雅黑"/>
          <w:b/>
          <w:bCs/>
          <w:szCs w:val="21"/>
        </w:rPr>
        <w:t>供应商日常管理</w:t>
      </w:r>
    </w:p>
    <w:p>
      <w:pPr>
        <w:numPr>
          <w:ilvl w:val="0"/>
          <w:numId w:val="8"/>
        </w:numPr>
        <w:spacing w:line="480" w:lineRule="exact"/>
        <w:rPr>
          <w:rFonts w:eastAsia="微软雅黑"/>
        </w:rPr>
      </w:pPr>
      <w:r>
        <w:rPr>
          <w:rFonts w:eastAsia="微软雅黑"/>
        </w:rPr>
        <w:t>供应商库及供应商主数据管理</w:t>
      </w:r>
    </w:p>
    <w:p>
      <w:pPr>
        <w:numPr>
          <w:ilvl w:val="0"/>
          <w:numId w:val="8"/>
        </w:numPr>
        <w:spacing w:line="480" w:lineRule="exact"/>
        <w:rPr>
          <w:rFonts w:eastAsia="微软雅黑"/>
        </w:rPr>
      </w:pPr>
      <w:r>
        <w:rPr>
          <w:rFonts w:eastAsia="微软雅黑"/>
        </w:rPr>
        <w:t>供应商分类模型：卡拉济齐矩阵</w:t>
      </w:r>
    </w:p>
    <w:p>
      <w:pPr>
        <w:numPr>
          <w:ilvl w:val="0"/>
          <w:numId w:val="8"/>
        </w:numPr>
        <w:spacing w:line="480" w:lineRule="exact"/>
        <w:rPr>
          <w:rFonts w:eastAsia="微软雅黑"/>
        </w:rPr>
      </w:pPr>
      <w:r>
        <w:rPr>
          <w:rFonts w:eastAsia="微软雅黑"/>
        </w:rPr>
        <w:t>供应商管理策略：供应商分级</w:t>
      </w:r>
    </w:p>
    <w:p>
      <w:pPr>
        <w:numPr>
          <w:ilvl w:val="0"/>
          <w:numId w:val="8"/>
        </w:numPr>
        <w:spacing w:line="480" w:lineRule="exact"/>
        <w:rPr>
          <w:rFonts w:eastAsia="微软雅黑"/>
        </w:rPr>
      </w:pPr>
      <w:r>
        <w:rPr>
          <w:rFonts w:eastAsia="微软雅黑"/>
        </w:rPr>
        <w:t>供应商准入和退出管理流程</w:t>
      </w:r>
    </w:p>
    <w:p>
      <w:pPr>
        <w:numPr>
          <w:ilvl w:val="0"/>
          <w:numId w:val="3"/>
        </w:numPr>
        <w:tabs>
          <w:tab w:val="left" w:pos="426"/>
        </w:tabs>
        <w:spacing w:line="480" w:lineRule="exact"/>
        <w:rPr>
          <w:rFonts w:eastAsia="微软雅黑"/>
          <w:b/>
          <w:bCs/>
          <w:szCs w:val="21"/>
        </w:rPr>
      </w:pPr>
      <w:r>
        <w:rPr>
          <w:rFonts w:eastAsia="微软雅黑"/>
          <w:b/>
          <w:bCs/>
          <w:szCs w:val="21"/>
        </w:rPr>
        <w:t>供应商风险管理</w:t>
      </w:r>
    </w:p>
    <w:p>
      <w:pPr>
        <w:numPr>
          <w:ilvl w:val="0"/>
          <w:numId w:val="9"/>
        </w:numPr>
        <w:spacing w:line="480" w:lineRule="exact"/>
        <w:rPr>
          <w:rFonts w:eastAsia="微软雅黑"/>
        </w:rPr>
      </w:pPr>
      <w:r>
        <w:rPr>
          <w:rFonts w:eastAsia="微软雅黑"/>
        </w:rPr>
        <w:t>质量、供应风险管理</w:t>
      </w:r>
    </w:p>
    <w:p>
      <w:pPr>
        <w:numPr>
          <w:ilvl w:val="0"/>
          <w:numId w:val="9"/>
        </w:numPr>
        <w:spacing w:line="480" w:lineRule="exact"/>
        <w:rPr>
          <w:rFonts w:eastAsia="微软雅黑"/>
        </w:rPr>
      </w:pPr>
      <w:r>
        <w:rPr>
          <w:rFonts w:eastAsia="微软雅黑"/>
        </w:rPr>
        <w:t>财务风险管理</w:t>
      </w:r>
    </w:p>
    <w:p>
      <w:pPr>
        <w:numPr>
          <w:ilvl w:val="0"/>
          <w:numId w:val="9"/>
        </w:numPr>
        <w:spacing w:line="480" w:lineRule="exact"/>
        <w:rPr>
          <w:rFonts w:eastAsia="微软雅黑"/>
        </w:rPr>
      </w:pPr>
      <w:r>
        <w:rPr>
          <w:rFonts w:eastAsia="微软雅黑"/>
        </w:rPr>
        <w:t>政治风险</w:t>
      </w:r>
    </w:p>
    <w:p>
      <w:pPr>
        <w:numPr>
          <w:ilvl w:val="0"/>
          <w:numId w:val="9"/>
        </w:numPr>
        <w:spacing w:line="480" w:lineRule="exact"/>
        <w:rPr>
          <w:rFonts w:eastAsia="微软雅黑"/>
        </w:rPr>
      </w:pPr>
      <w:r>
        <w:rPr>
          <w:rFonts w:eastAsia="微软雅黑"/>
        </w:rPr>
        <w:t>将供应商风险管理纳入日常管理项：风险指数图和风险轮</w:t>
      </w:r>
    </w:p>
    <w:p>
      <w:pPr>
        <w:numPr>
          <w:ilvl w:val="0"/>
          <w:numId w:val="3"/>
        </w:numPr>
        <w:tabs>
          <w:tab w:val="left" w:pos="426"/>
        </w:tabs>
        <w:spacing w:line="480" w:lineRule="exact"/>
        <w:rPr>
          <w:rFonts w:eastAsia="微软雅黑"/>
          <w:b/>
          <w:bCs/>
          <w:szCs w:val="21"/>
        </w:rPr>
      </w:pPr>
      <w:r>
        <w:rPr>
          <w:rFonts w:eastAsia="微软雅黑"/>
          <w:b/>
          <w:bCs/>
          <w:szCs w:val="21"/>
        </w:rPr>
        <w:t>供应商协同管理</w:t>
      </w:r>
    </w:p>
    <w:p>
      <w:pPr>
        <w:numPr>
          <w:ilvl w:val="0"/>
          <w:numId w:val="10"/>
        </w:numPr>
        <w:spacing w:line="480" w:lineRule="exact"/>
        <w:rPr>
          <w:rFonts w:eastAsia="微软雅黑"/>
          <w:color w:val="000000"/>
        </w:rPr>
      </w:pPr>
      <w:r>
        <w:rPr>
          <w:rFonts w:eastAsia="微软雅黑"/>
          <w:color w:val="000000"/>
        </w:rPr>
        <w:t>供应商窗口管理</w:t>
      </w:r>
    </w:p>
    <w:p>
      <w:pPr>
        <w:numPr>
          <w:ilvl w:val="0"/>
          <w:numId w:val="10"/>
        </w:numPr>
        <w:spacing w:line="480" w:lineRule="exact"/>
        <w:rPr>
          <w:rFonts w:eastAsia="微软雅黑"/>
          <w:color w:val="000000"/>
        </w:rPr>
      </w:pPr>
      <w:r>
        <w:rPr>
          <w:rFonts w:eastAsia="微软雅黑"/>
          <w:color w:val="000000"/>
        </w:rPr>
        <w:t>基于TCO的供应商各类降本办法</w:t>
      </w:r>
    </w:p>
    <w:p>
      <w:pPr>
        <w:numPr>
          <w:ilvl w:val="0"/>
          <w:numId w:val="2"/>
        </w:numPr>
        <w:spacing w:line="480" w:lineRule="exact"/>
        <w:rPr>
          <w:rFonts w:eastAsia="微软雅黑"/>
          <w:color w:val="000000"/>
        </w:rPr>
      </w:pPr>
      <w:r>
        <w:rPr>
          <w:rFonts w:eastAsia="微软雅黑"/>
          <w:color w:val="000000"/>
        </w:rPr>
        <w:t>供应商数量优化</w:t>
      </w:r>
    </w:p>
    <w:p>
      <w:pPr>
        <w:numPr>
          <w:ilvl w:val="0"/>
          <w:numId w:val="2"/>
        </w:numPr>
        <w:spacing w:line="480" w:lineRule="exact"/>
        <w:rPr>
          <w:rFonts w:eastAsia="微软雅黑"/>
        </w:rPr>
      </w:pPr>
      <w:r>
        <w:rPr>
          <w:rFonts w:eastAsia="微软雅黑"/>
        </w:rPr>
        <w:t>供应商质量提升的工具</w:t>
      </w:r>
    </w:p>
    <w:p>
      <w:pPr>
        <w:numPr>
          <w:ilvl w:val="0"/>
          <w:numId w:val="2"/>
        </w:numPr>
        <w:spacing w:line="480" w:lineRule="exact"/>
        <w:rPr>
          <w:rFonts w:eastAsia="微软雅黑"/>
        </w:rPr>
      </w:pPr>
      <w:r>
        <w:rPr>
          <w:rFonts w:eastAsia="微软雅黑"/>
        </w:rPr>
        <w:t>供应商交期改善</w:t>
      </w:r>
    </w:p>
    <w:p>
      <w:pPr>
        <w:numPr>
          <w:ilvl w:val="0"/>
          <w:numId w:val="2"/>
        </w:numPr>
        <w:spacing w:line="480" w:lineRule="exact"/>
        <w:rPr>
          <w:rFonts w:eastAsia="微软雅黑"/>
        </w:rPr>
      </w:pPr>
      <w:r>
        <w:rPr>
          <w:rFonts w:eastAsia="微软雅黑"/>
        </w:rPr>
        <w:t>供应商LEAN</w:t>
      </w:r>
    </w:p>
    <w:p>
      <w:pPr>
        <w:spacing w:line="480" w:lineRule="exact"/>
        <w:ind w:left="420" w:leftChars="200"/>
        <w:rPr>
          <w:rFonts w:hint="eastAsia" w:eastAsia="微软雅黑"/>
          <w:color w:val="000000"/>
        </w:rPr>
      </w:pPr>
      <w:r>
        <w:rPr>
          <w:rFonts w:eastAsia="微软雅黑"/>
          <w:color w:val="000000"/>
        </w:rPr>
        <w:t>供应商可持续发展</w:t>
      </w:r>
    </w:p>
    <w:p>
      <w:pPr>
        <w:numPr>
          <w:ilvl w:val="0"/>
          <w:numId w:val="3"/>
        </w:numPr>
        <w:tabs>
          <w:tab w:val="left" w:pos="426"/>
        </w:tabs>
        <w:spacing w:line="480" w:lineRule="exact"/>
        <w:rPr>
          <w:rFonts w:eastAsia="微软雅黑"/>
          <w:b/>
          <w:bCs/>
          <w:szCs w:val="21"/>
        </w:rPr>
      </w:pPr>
      <w:r>
        <w:rPr>
          <w:rFonts w:eastAsia="微软雅黑"/>
          <w:b/>
          <w:bCs/>
          <w:szCs w:val="21"/>
        </w:rPr>
        <w:t>供应商关系管理</w:t>
      </w:r>
    </w:p>
    <w:p>
      <w:pPr>
        <w:numPr>
          <w:ilvl w:val="0"/>
          <w:numId w:val="11"/>
        </w:numPr>
        <w:spacing w:line="480" w:lineRule="exact"/>
        <w:rPr>
          <w:rFonts w:eastAsia="微软雅黑"/>
          <w:color w:val="000000"/>
        </w:rPr>
      </w:pPr>
      <w:r>
        <w:rPr>
          <w:rFonts w:eastAsia="微软雅黑"/>
          <w:color w:val="000000"/>
        </w:rPr>
        <w:t>供应商关系管理的发展</w:t>
      </w:r>
    </w:p>
    <w:p>
      <w:pPr>
        <w:numPr>
          <w:ilvl w:val="0"/>
          <w:numId w:val="11"/>
        </w:numPr>
        <w:spacing w:line="480" w:lineRule="exact"/>
        <w:rPr>
          <w:rFonts w:eastAsia="微软雅黑"/>
          <w:color w:val="000000"/>
        </w:rPr>
      </w:pPr>
      <w:r>
        <w:rPr>
          <w:rFonts w:eastAsia="微软雅黑"/>
          <w:color w:val="000000"/>
        </w:rPr>
        <w:t>供应商关系管理的内容</w:t>
      </w:r>
    </w:p>
    <w:p>
      <w:pPr>
        <w:numPr>
          <w:ilvl w:val="0"/>
          <w:numId w:val="11"/>
        </w:numPr>
        <w:spacing w:line="480" w:lineRule="exact"/>
        <w:rPr>
          <w:rFonts w:eastAsia="微软雅黑"/>
          <w:color w:val="000000"/>
        </w:rPr>
      </w:pPr>
      <w:r>
        <w:rPr>
          <w:rFonts w:eastAsia="微软雅黑"/>
          <w:color w:val="000000"/>
        </w:rPr>
        <w:t>供应商激励的概念</w:t>
      </w:r>
    </w:p>
    <w:p>
      <w:pPr>
        <w:numPr>
          <w:ilvl w:val="0"/>
          <w:numId w:val="11"/>
        </w:numPr>
        <w:spacing w:line="480" w:lineRule="exact"/>
        <w:rPr>
          <w:rFonts w:eastAsia="微软雅黑"/>
          <w:color w:val="000000"/>
        </w:rPr>
      </w:pPr>
      <w:r>
        <w:rPr>
          <w:rFonts w:eastAsia="微软雅黑"/>
          <w:color w:val="000000"/>
        </w:rPr>
        <w:t>供应商大会</w:t>
      </w:r>
    </w:p>
    <w:p>
      <w:pPr>
        <w:numPr>
          <w:ilvl w:val="0"/>
          <w:numId w:val="11"/>
        </w:numPr>
        <w:spacing w:line="480" w:lineRule="exact"/>
        <w:rPr>
          <w:rFonts w:eastAsia="微软雅黑"/>
          <w:color w:val="000000"/>
        </w:rPr>
      </w:pPr>
      <w:r>
        <w:rPr>
          <w:rFonts w:eastAsia="微软雅黑"/>
          <w:color w:val="000000"/>
        </w:rPr>
        <w:t>由供应商协同变革而产生的影响：组织结构、对应窗口等</w:t>
      </w:r>
    </w:p>
    <w:p>
      <w:pPr>
        <w:numPr>
          <w:ilvl w:val="0"/>
          <w:numId w:val="11"/>
        </w:numPr>
        <w:spacing w:line="480" w:lineRule="exact"/>
        <w:rPr>
          <w:rFonts w:eastAsia="微软雅黑"/>
          <w:color w:val="000000"/>
        </w:rPr>
      </w:pPr>
      <w:r>
        <w:rPr>
          <w:rFonts w:eastAsia="微软雅黑"/>
          <w:color w:val="000000"/>
        </w:rPr>
        <w:t>角色扮演：供应商季度考核绩效回顾QBR (使用讲师提供的案例数据，在笔记本电脑上进行简单的汇总报告编写，并以此作为和供应商QBR的资料)</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p>
    <w:p>
      <w:pPr>
        <w:spacing w:line="480" w:lineRule="exact"/>
        <w:rPr>
          <w:rStyle w:val="8"/>
          <w:rFonts w:hint="default" w:ascii="Times New Roman" w:hAnsi="Times New Roman" w:eastAsia="微软雅黑"/>
          <w:b/>
          <w:i/>
          <w:iCs/>
          <w:sz w:val="24"/>
          <w:szCs w:val="24"/>
          <w14:shadow w14:blurRad="50800" w14:dist="38100" w14:dir="2700000" w14:sx="100000" w14:sy="100000" w14:kx="0" w14:ky="0" w14:algn="tl">
            <w14:srgbClr w14:val="000000">
              <w14:alpha w14:val="60000"/>
            </w14:srgbClr>
          </w14:shadow>
        </w:rPr>
      </w:pPr>
      <w:bookmarkStart w:id="0" w:name="_GoBack"/>
      <w:bookmarkEnd w:id="0"/>
      <w:r>
        <w:rPr>
          <w:rFonts w:eastAsia="微软雅黑"/>
          <w:b/>
          <w:color w:val="C00000"/>
          <w:sz w:val="24"/>
          <w:szCs w:val="24"/>
          <w14:shadow w14:blurRad="50800" w14:dist="38100" w14:dir="2700000" w14:sx="100000" w14:sy="100000" w14:kx="0" w14:ky="0" w14:algn="tl">
            <w14:srgbClr w14:val="000000">
              <w14:alpha w14:val="60000"/>
            </w14:srgbClr>
          </w14:shadow>
        </w:rPr>
        <w:t>讲师介绍：</w:t>
      </w:r>
      <w:r>
        <w:rPr>
          <w:rFonts w:hint="eastAsia" w:eastAsia="微软雅黑"/>
          <w:b/>
          <w:bCs/>
          <w:sz w:val="24"/>
          <w:szCs w:val="32"/>
        </w:rPr>
        <w:t>林老师</w:t>
      </w:r>
    </w:p>
    <w:p>
      <w:pPr>
        <w:spacing w:line="480" w:lineRule="exact"/>
        <w:ind w:firstLine="420" w:firstLineChars="200"/>
        <w:rPr>
          <w:rFonts w:eastAsia="微软雅黑"/>
        </w:rPr>
      </w:pPr>
      <w:r>
        <w:rPr>
          <w:rFonts w:eastAsia="微软雅黑"/>
        </w:rPr>
        <w:t>目前任职于某著名全球500强跨国企业，担任全球商品采购总监负责亚太区近60个工厂， 3亿欧元的相关商品类别的战略采购管理，英国赫瑞瓦特(Heriot-Watt University)工商管理硕士。</w:t>
      </w:r>
    </w:p>
    <w:p>
      <w:pPr>
        <w:spacing w:line="480" w:lineRule="exact"/>
        <w:ind w:firstLine="420" w:firstLineChars="200"/>
        <w:rPr>
          <w:rFonts w:eastAsia="微软雅黑"/>
        </w:rPr>
      </w:pPr>
      <w:r>
        <w:rPr>
          <w:rFonts w:eastAsia="微软雅黑"/>
        </w:rPr>
        <w:t>曾在全球知名跨国企业如通用电气(亚太)采购中心， 法国核电集团， 惠而浦(中国)投资有限公司等历任项目管理及采购经理等职务。</w:t>
      </w:r>
    </w:p>
    <w:p>
      <w:pPr>
        <w:spacing w:line="480" w:lineRule="exact"/>
        <w:ind w:firstLine="420" w:firstLineChars="200"/>
        <w:rPr>
          <w:rFonts w:eastAsia="微软雅黑"/>
        </w:rPr>
      </w:pPr>
      <w:r>
        <w:rPr>
          <w:rFonts w:eastAsia="微软雅黑"/>
        </w:rPr>
        <w:t>拥有丰富的实战经验， 涉及过的采购产品涵盖多种商品类别， 比如各种加工工艺， 大宗原材料以及间接性物料等。熟悉多种商品的作业成本， 以及亚太区各个国家的市场和供应链特点。近20年世界500强公司丰富的采购经验和丰富的海外工作经历，以及对采购案例的深入研究使得培训课程有很强的针对性和实践指导性。</w:t>
      </w:r>
    </w:p>
    <w:p>
      <w:pPr>
        <w:spacing w:line="480" w:lineRule="exact"/>
        <w:jc w:val="lef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擅长课程：</w:t>
      </w:r>
    </w:p>
    <w:p>
      <w:pPr>
        <w:spacing w:line="480" w:lineRule="exact"/>
        <w:ind w:firstLine="420" w:firstLineChars="200"/>
        <w:rPr>
          <w:rFonts w:eastAsia="微软雅黑"/>
        </w:rPr>
      </w:pPr>
      <w:r>
        <w:rPr>
          <w:rFonts w:eastAsia="微软雅黑"/>
        </w:rPr>
        <w:t>采购谈判管理，供应商管理，成本分析与控制 战略采购管理、采购必备的财务知识与技能等系列采购课程。</w:t>
      </w:r>
    </w:p>
    <w:p>
      <w:pPr>
        <w:spacing w:line="480" w:lineRule="exact"/>
        <w:jc w:val="lef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培训风格：</w:t>
      </w:r>
    </w:p>
    <w:p>
      <w:pPr>
        <w:spacing w:line="480" w:lineRule="exact"/>
        <w:ind w:firstLine="420" w:firstLineChars="200"/>
        <w:rPr>
          <w:rFonts w:hint="eastAsia" w:eastAsia="微软雅黑"/>
        </w:rPr>
      </w:pPr>
      <w:r>
        <w:rPr>
          <w:rFonts w:eastAsia="微软雅黑"/>
        </w:rPr>
        <w:t>讲课概念超前，但又注重实际应用；案例丰富并且主要来自本人的多年实践经验。善于帮助听众换位思考，采用现场答疑、专家诊断等授课方式，消除填鸭式讲授的枯燥和乏味。睿智，条理性强，深受客户欢迎。</w:t>
      </w:r>
    </w:p>
    <w:p>
      <w:pPr>
        <w:spacing w:line="480" w:lineRule="exact"/>
        <w:jc w:val="lef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曾培训和辅导过的企业有：</w:t>
      </w:r>
    </w:p>
    <w:p>
      <w:pPr>
        <w:spacing w:line="480" w:lineRule="exact"/>
        <w:ind w:firstLine="420" w:firstLineChars="200"/>
        <w:rPr>
          <w:rFonts w:eastAsia="微软雅黑"/>
        </w:rPr>
      </w:pPr>
      <w:r>
        <w:rPr>
          <w:rFonts w:eastAsia="微软雅黑"/>
        </w:rPr>
        <w:t>德尔福汽车，康明斯中国，李尔公司，BMW，Nokia，Haier，IBM，Tyco，Tower，Tcl，中海油公司，ABB，Siemens，Philips，Aucma，Media，奥的斯电梯，飞利浦亚明，拜耳公司，西门子，萨帕铝热，通用磨坊，美卓造纸机械，艾欧史密斯，英格索兰，联合利华（中国）、唐纳森过滤器、Intel（中国）、伟创力、赛诺菲中国（Sanofi）、美国药星制药（Amphastar）、阿斯利康投资（中国），康菲石油，大众汽车、彼勒、万可电子、格兰特钻具、青岛庞巴迪、联合汽车电子、嘉吉粮油、美铝、采埃孚、德克斯米尔、利洁时中国投资、天津雅马哈、海航集团、中国国际货运航空公司、乔治费歇尔汽车用品、中集集团、上海家化、哈利玛化工等上千家企业。</w:t>
      </w:r>
    </w:p>
    <w:p>
      <w:pPr>
        <w:spacing w:line="480" w:lineRule="exact"/>
        <w:jc w:val="lef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培训过的客户有：</w:t>
      </w:r>
    </w:p>
    <w:p>
      <w:pPr>
        <w:spacing w:line="480" w:lineRule="exact"/>
        <w:ind w:firstLine="420" w:firstLineChars="200"/>
        <w:rPr>
          <w:rFonts w:eastAsia="微软雅黑"/>
        </w:rPr>
      </w:pPr>
      <w:r>
        <w:rPr>
          <w:rFonts w:eastAsia="微软雅黑"/>
        </w:rPr>
        <w:t>伊利、拜耳、家乐福、霍尼韦尔、施耐德电气、益海嘉里、三一重工集团、联想、百安居、丸红、小松投资、联合利华、保洁、UPS、旺旺集团、红星美凯龙、英特尔、ABB、液化空气、陶氏化学、科莱恩化工等知名公司。</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422BF5"/>
    <w:multiLevelType w:val="singleLevel"/>
    <w:tmpl w:val="EA422BF5"/>
    <w:lvl w:ilvl="0" w:tentative="0">
      <w:start w:val="1"/>
      <w:numFmt w:val="bullet"/>
      <w:lvlText w:val=""/>
      <w:lvlJc w:val="left"/>
      <w:pPr>
        <w:ind w:left="420" w:hanging="420"/>
      </w:pPr>
      <w:rPr>
        <w:rFonts w:hint="default" w:ascii="Wingdings" w:hAnsi="Wingdings"/>
      </w:rPr>
    </w:lvl>
  </w:abstractNum>
  <w:abstractNum w:abstractNumId="1">
    <w:nsid w:val="074F0B5A"/>
    <w:multiLevelType w:val="multilevel"/>
    <w:tmpl w:val="074F0B5A"/>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CCF1EDE"/>
    <w:multiLevelType w:val="multilevel"/>
    <w:tmpl w:val="0CCF1EDE"/>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EE31036"/>
    <w:multiLevelType w:val="multilevel"/>
    <w:tmpl w:val="1EE31036"/>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B0649F8"/>
    <w:multiLevelType w:val="multilevel"/>
    <w:tmpl w:val="2B0649F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6A01C9B"/>
    <w:multiLevelType w:val="multilevel"/>
    <w:tmpl w:val="46A01C9B"/>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54521DFB"/>
    <w:multiLevelType w:val="multilevel"/>
    <w:tmpl w:val="54521DFB"/>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55626ACB"/>
    <w:multiLevelType w:val="multilevel"/>
    <w:tmpl w:val="55626AC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56D32292"/>
    <w:multiLevelType w:val="multilevel"/>
    <w:tmpl w:val="56D32292"/>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6E130B57"/>
    <w:multiLevelType w:val="multilevel"/>
    <w:tmpl w:val="6E130B57"/>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761B3D7E"/>
    <w:multiLevelType w:val="multilevel"/>
    <w:tmpl w:val="761B3D7E"/>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7"/>
  </w:num>
  <w:num w:numId="3">
    <w:abstractNumId w:val="4"/>
  </w:num>
  <w:num w:numId="4">
    <w:abstractNumId w:val="2"/>
  </w:num>
  <w:num w:numId="5">
    <w:abstractNumId w:val="10"/>
  </w:num>
  <w:num w:numId="6">
    <w:abstractNumId w:val="9"/>
  </w:num>
  <w:num w:numId="7">
    <w:abstractNumId w:val="1"/>
  </w:num>
  <w:num w:numId="8">
    <w:abstractNumId w:val="8"/>
  </w:num>
  <w:num w:numId="9">
    <w:abstractNumId w:val="3"/>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M2ExOGY5NDQxYmM1NmJlNzk5NmNiZmE0OWVkNTYifQ=="/>
  </w:docVars>
  <w:rsids>
    <w:rsidRoot w:val="4B184E1C"/>
    <w:rsid w:val="152207F0"/>
    <w:rsid w:val="4B184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ind w:left="220" w:firstLine="660"/>
      <w:jc w:val="center"/>
      <w:outlineLvl w:val="0"/>
    </w:pPr>
    <w:rPr>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character" w:styleId="7">
    <w:name w:val="Hyperlink"/>
    <w:qFormat/>
    <w:uiPriority w:val="0"/>
    <w:rPr>
      <w:color w:val="0000FF"/>
      <w:u w:val="single"/>
    </w:rPr>
  </w:style>
  <w:style w:type="character" w:customStyle="1" w:styleId="8">
    <w:name w:val="style241"/>
    <w:uiPriority w:val="0"/>
    <w:rPr>
      <w:rFonts w:hint="eastAsia" w:ascii="宋体" w:hAnsi="宋体" w:eastAsia="宋体"/>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2344</Words>
  <Characters>2408</Characters>
  <Lines>0</Lines>
  <Paragraphs>0</Paragraphs>
  <TotalTime>0</TotalTime>
  <ScaleCrop>false</ScaleCrop>
  <LinksUpToDate>false</LinksUpToDate>
  <CharactersWithSpaces>2413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2022-07-13T08:56:00Z</dcterms:created>
  <dc:creator>强思企管婷婷（渠道报单）</dc:creator>
  <cp:lastModifiedBy>冯婷婷</cp:lastModifiedBy>
  <dcterms:modified xsi:type="dcterms:W3CDTF">2022-08-11T03:52:04Z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31A29D36FD4748A781B065B1340A0EB0</vt:lpwstr>
  </property>
</Properties>
</file>