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hint="default" w:ascii="Times New Roman" w:hAnsi="Times New Roman" w:cs="Times New Roman"/>
          <w:color w:val="0000FF"/>
        </w:rPr>
      </w:pPr>
      <w:bookmarkStart w:id="0" w:name="_GoBack"/>
      <w:r>
        <w:rPr>
          <w:rFonts w:hint="default" w:ascii="Times New Roman" w:hAnsi="Times New Roman" w:eastAsia="微软雅黑" w:cs="Times New Roman"/>
          <w:b/>
          <w:color w:val="0000FF"/>
          <w:sz w:val="44"/>
        </w:rPr>
        <w:t>产品质量先期策划（APQP）</w:t>
      </w:r>
    </w:p>
    <w:bookmarkEnd w:id="0"/>
    <w:p>
      <w:pPr>
        <w:spacing w:line="480" w:lineRule="exact"/>
        <w:rPr>
          <w:rFonts w:eastAsia="微软雅黑"/>
          <w:b/>
          <w:color w:val="000000"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培训时间/地点：</w:t>
      </w:r>
      <w:r>
        <w:rPr>
          <w:rFonts w:eastAsia="微软雅黑"/>
          <w:b/>
          <w:color w:val="000000"/>
          <w:szCs w:val="21"/>
        </w:rPr>
        <w:t>2022年9月21日（星期三）/线上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直播</w:t>
      </w:r>
      <w:r>
        <w:rPr>
          <w:rFonts w:eastAsia="微软雅黑"/>
          <w:b/>
          <w:color w:val="000000"/>
          <w:szCs w:val="21"/>
        </w:rPr>
        <w:t>团队版</w:t>
      </w:r>
    </w:p>
    <w:p>
      <w:pPr>
        <w:spacing w:line="480" w:lineRule="exact"/>
        <w:rPr>
          <w:rFonts w:hint="eastAsia" w:eastAsia="微软雅黑"/>
          <w:b/>
          <w:szCs w:val="21"/>
          <w:lang w:eastAsia="zh-CN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￥3000/</w:t>
      </w:r>
      <w:r>
        <w:rPr>
          <w:rFonts w:eastAsia="微软雅黑"/>
          <w:b/>
          <w:color w:val="000000"/>
          <w:szCs w:val="21"/>
        </w:rPr>
        <w:t>门</w:t>
      </w:r>
      <w:r>
        <w:rPr>
          <w:rFonts w:hint="eastAsia" w:eastAsia="微软雅黑"/>
          <w:b/>
          <w:color w:val="000000"/>
          <w:szCs w:val="21"/>
          <w:lang w:eastAsia="zh-CN"/>
        </w:rPr>
        <w:t>（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未税价</w:t>
      </w:r>
      <w:r>
        <w:rPr>
          <w:rFonts w:hint="eastAsia" w:eastAsia="微软雅黑"/>
          <w:b/>
          <w:color w:val="000000"/>
          <w:szCs w:val="21"/>
          <w:lang w:eastAsia="zh-CN"/>
        </w:rPr>
        <w:t>）</w:t>
      </w:r>
    </w:p>
    <w:p>
      <w:pPr>
        <w:numPr>
          <w:ilvl w:val="0"/>
          <w:numId w:val="1"/>
        </w:numPr>
        <w:spacing w:line="480" w:lineRule="exact"/>
        <w:rPr>
          <w:rFonts w:eastAsia="微软雅黑"/>
        </w:rPr>
      </w:pPr>
      <w:r>
        <w:rPr>
          <w:rFonts w:eastAsia="微软雅黑"/>
        </w:rPr>
        <w:t>采购方式：企业采购，每家企业提供1个账号，以</w:t>
      </w:r>
      <w:r>
        <w:rPr>
          <w:rFonts w:eastAsia="微软雅黑"/>
          <w:b/>
          <w:color w:val="C00000"/>
        </w:rPr>
        <w:t>小组形式</w:t>
      </w:r>
      <w:r>
        <w:rPr>
          <w:rFonts w:eastAsia="微软雅黑"/>
        </w:rPr>
        <w:t>在会议室参加，总参训人数不超过6人/门。</w:t>
      </w:r>
    </w:p>
    <w:p>
      <w:pPr>
        <w:numPr>
          <w:ilvl w:val="0"/>
          <w:numId w:val="1"/>
        </w:numPr>
        <w:spacing w:line="480" w:lineRule="exact"/>
        <w:rPr>
          <w:rFonts w:eastAsia="微软雅黑"/>
        </w:rPr>
      </w:pPr>
      <w:r>
        <w:rPr>
          <w:rFonts w:eastAsia="微软雅黑"/>
        </w:rPr>
        <w:t>参训方式：以小组为单位参训，团队共创、案例分析、小组演练、各企PK，更多强调团队融合、提高课程的互动性及参与度，更多的关注</w:t>
      </w:r>
      <w:r>
        <w:rPr>
          <w:rFonts w:eastAsia="微软雅黑"/>
          <w:b/>
          <w:color w:val="C00000"/>
        </w:rPr>
        <w:t>沉浸式学习体验</w:t>
      </w:r>
      <w:r>
        <w:rPr>
          <w:rFonts w:eastAsia="微软雅黑"/>
        </w:rPr>
        <w:t>、以更好的达成线上培训效果。</w:t>
      </w:r>
    </w:p>
    <w:p>
      <w:pPr>
        <w:numPr>
          <w:ilvl w:val="0"/>
          <w:numId w:val="1"/>
        </w:numPr>
        <w:spacing w:line="480" w:lineRule="exact"/>
        <w:rPr>
          <w:rFonts w:eastAsia="微软雅黑"/>
        </w:rPr>
      </w:pPr>
      <w:r>
        <w:rPr>
          <w:rFonts w:eastAsia="微软雅黑"/>
        </w:rPr>
        <w:t>教材及证书：课前邮寄纸质版教材；课后邮寄证书（每组6套，额外购买30/套），适用所有团队版课程。</w:t>
      </w:r>
    </w:p>
    <w:p>
      <w:pPr>
        <w:numPr>
          <w:ilvl w:val="0"/>
          <w:numId w:val="1"/>
        </w:numPr>
        <w:spacing w:line="480" w:lineRule="exact"/>
        <w:rPr>
          <w:rFonts w:eastAsia="微软雅黑"/>
        </w:rPr>
      </w:pPr>
      <w:r>
        <w:rPr>
          <w:rFonts w:eastAsia="微软雅黑"/>
        </w:rPr>
        <w:t>线上公开课属于直播，不支持课后回看。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课程目标：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szCs w:val="21"/>
        </w:rPr>
        <w:t>明确结构化的产品开发方法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szCs w:val="21"/>
        </w:rPr>
        <w:t>增强工作预防意识和综合规划思维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szCs w:val="21"/>
        </w:rPr>
        <w:t>提高企业产品开发或过程开发的一次成功率，减少晚期变更损失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课程收获：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szCs w:val="21"/>
        </w:rPr>
        <w:t>理解APQP含义和目的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szCs w:val="21"/>
        </w:rPr>
        <w:t>了解有效开展APQP前应该做的准备工作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szCs w:val="21"/>
        </w:rPr>
        <w:t>掌握APQP的五阶段各自的输入和输出</w:t>
      </w:r>
    </w:p>
    <w:p>
      <w:pPr>
        <w:widowControl/>
        <w:numPr>
          <w:ilvl w:val="0"/>
          <w:numId w:val="3"/>
        </w:numPr>
        <w:spacing w:line="480" w:lineRule="exact"/>
        <w:jc w:val="left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szCs w:val="21"/>
        </w:rPr>
        <w:t>回到岗位上，能更好更好地开展APQP工作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参训对象：</w:t>
      </w:r>
    </w:p>
    <w:p>
      <w:pPr>
        <w:widowControl/>
        <w:numPr>
          <w:ilvl w:val="0"/>
          <w:numId w:val="4"/>
        </w:numPr>
        <w:spacing w:line="480" w:lineRule="exact"/>
        <w:jc w:val="left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szCs w:val="21"/>
        </w:rPr>
        <w:t>制造业一线技术人员、质量管理人员</w:t>
      </w:r>
    </w:p>
    <w:p>
      <w:pPr>
        <w:widowControl/>
        <w:numPr>
          <w:ilvl w:val="0"/>
          <w:numId w:val="4"/>
        </w:numPr>
        <w:spacing w:line="480" w:lineRule="exact"/>
        <w:jc w:val="left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szCs w:val="21"/>
        </w:rPr>
        <w:t>制造业技术和质量、采购、制造主管或经理人员</w:t>
      </w:r>
    </w:p>
    <w:p>
      <w:pPr>
        <w:widowControl/>
        <w:numPr>
          <w:ilvl w:val="0"/>
          <w:numId w:val="4"/>
        </w:numPr>
        <w:spacing w:line="480" w:lineRule="exact"/>
        <w:jc w:val="left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szCs w:val="21"/>
        </w:rPr>
        <w:t>希望提升产品质量前期和过程控制水平的志向者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</w:p>
    <w:tbl>
      <w:tblPr>
        <w:tblStyle w:val="4"/>
        <w:tblW w:w="97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2073"/>
        <w:gridCol w:w="54"/>
        <w:gridCol w:w="3657"/>
        <w:gridCol w:w="36"/>
        <w:gridCol w:w="15"/>
        <w:gridCol w:w="2190"/>
        <w:gridCol w:w="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主题</w:t>
            </w:r>
            <w:r>
              <w:rPr>
                <w:rStyle w:val="7"/>
                <w:rFonts w:ascii="Times New Roman" w:hAnsi="Times New Roman" w:eastAsia="微软雅黑" w:cs="Times New Roman"/>
                <w:sz w:val="21"/>
                <w:szCs w:val="21"/>
                <w:lang w:bidi="ar"/>
              </w:rPr>
              <w:t>/</w:t>
            </w:r>
            <w:r>
              <w:rPr>
                <w:rStyle w:val="8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目标</w:t>
            </w: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讲　师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学　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7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课程导入</w:t>
            </w: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问题提出与</w:t>
            </w:r>
            <w:r>
              <w:rPr>
                <w:rStyle w:val="9"/>
                <w:rFonts w:ascii="Times New Roman" w:hAnsi="Times New Roman" w:eastAsia="微软雅黑" w:cs="Times New Roman"/>
                <w:sz w:val="21"/>
                <w:szCs w:val="21"/>
                <w:lang w:bidi="ar"/>
              </w:rPr>
              <w:t>FMEA</w:t>
            </w: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小组组建</w:t>
            </w:r>
          </w:p>
        </w:tc>
        <w:tc>
          <w:tcPr>
            <w:tcW w:w="2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自我介绍</w:t>
            </w:r>
            <w:r>
              <w:rPr>
                <w:rStyle w:val="9"/>
                <w:rFonts w:ascii="Times New Roman" w:hAnsi="Times New Roman" w:eastAsia="微软雅黑" w:cs="Times New Roman"/>
                <w:sz w:val="21"/>
                <w:szCs w:val="21"/>
                <w:lang w:bidi="ar"/>
              </w:rPr>
              <w:t>/</w:t>
            </w: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分组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培训目标及要求</w:t>
            </w:r>
          </w:p>
        </w:tc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APQP</w:t>
            </w:r>
            <w:r>
              <w:rPr>
                <w:rStyle w:val="8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的基本作用，理念及原则</w:t>
            </w:r>
          </w:p>
        </w:tc>
        <w:tc>
          <w:tcPr>
            <w:tcW w:w="5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质量从哪里来？</w:t>
            </w:r>
          </w:p>
        </w:tc>
        <w:tc>
          <w:tcPr>
            <w:tcW w:w="2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提问及回答老师问题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APQP</w:t>
            </w: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的本质</w:t>
            </w:r>
          </w:p>
        </w:tc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APQP</w:t>
            </w: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的关键问题</w:t>
            </w:r>
          </w:p>
        </w:tc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APQP</w:t>
            </w: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的成功法则</w:t>
            </w:r>
          </w:p>
        </w:tc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项目开发主流程及关键节点</w:t>
            </w:r>
          </w:p>
        </w:tc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计划与确定项目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立项阶段必须解决的三大问题</w:t>
            </w: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顾客呼声与内外部输入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制造可行性评估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三大目标、三大初始条件及保证计划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三大问题剖析及整合性思考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8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案例研究</w:t>
            </w:r>
            <w:r>
              <w:rPr>
                <w:rStyle w:val="9"/>
                <w:rFonts w:ascii="Times New Roman" w:hAnsi="Times New Roman" w:eastAsia="微软雅黑" w:cs="Times New Roman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产品设计与开发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产品设计的基本问题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功能与结构设计</w:t>
            </w:r>
          </w:p>
        </w:tc>
        <w:tc>
          <w:tcPr>
            <w:tcW w:w="22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提问及回答老师问题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尺寸与公差设计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材料与配方设计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产品设计要考虑的三个方面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DFMEA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DFA/M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关键产品特性确定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设计评审、验证与确认的策划与实施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三者的区别与联系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开发</w:t>
            </w:r>
            <w:r>
              <w:rPr>
                <w:rStyle w:val="9"/>
                <w:rFonts w:ascii="Times New Roman" w:hAnsi="Times New Roman" w:eastAsia="微软雅黑" w:cs="Times New Roman"/>
                <w:sz w:val="21"/>
                <w:szCs w:val="21"/>
                <w:lang w:bidi="ar"/>
              </w:rPr>
              <w:t>DVP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硬件设施的同步考虑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（新）设施设备清单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（新）工装</w:t>
            </w:r>
            <w:r>
              <w:rPr>
                <w:rStyle w:val="9"/>
                <w:rFonts w:ascii="Times New Roman" w:hAnsi="Times New Roman" w:eastAsia="微软雅黑" w:cs="Times New Roman"/>
                <w:sz w:val="21"/>
                <w:szCs w:val="21"/>
                <w:lang w:bidi="ar"/>
              </w:rPr>
              <w:t>/</w:t>
            </w: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检具清单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供应商的同步开发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从</w:t>
            </w:r>
            <w:r>
              <w:rPr>
                <w:rStyle w:val="9"/>
                <w:rFonts w:ascii="Times New Roman" w:hAnsi="Times New Roman" w:eastAsia="微软雅黑" w:cs="Times New Roman"/>
                <w:sz w:val="21"/>
                <w:szCs w:val="21"/>
                <w:lang w:bidi="ar"/>
              </w:rPr>
              <w:t>BOM</w:t>
            </w: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到选点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8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案例研究</w:t>
            </w:r>
            <w:r>
              <w:rPr>
                <w:rStyle w:val="9"/>
                <w:rFonts w:ascii="Times New Roman" w:hAnsi="Times New Roman" w:eastAsia="微软雅黑" w:cs="Times New Roman"/>
                <w:sz w:val="21"/>
                <w:szCs w:val="21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过程设计与开发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过程设计：</w:t>
            </w:r>
            <w:r>
              <w:rPr>
                <w:rStyle w:val="9"/>
                <w:rFonts w:ascii="Times New Roman" w:hAnsi="Times New Roman" w:eastAsia="微软雅黑" w:cs="Times New Roman"/>
                <w:sz w:val="21"/>
                <w:szCs w:val="21"/>
                <w:lang w:bidi="ar"/>
              </w:rPr>
              <w:t>5M</w:t>
            </w: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的通盘考量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layout</w:t>
            </w: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设计与评估</w:t>
            </w:r>
          </w:p>
        </w:tc>
        <w:tc>
          <w:tcPr>
            <w:tcW w:w="22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提问及回答老师问题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过程</w:t>
            </w:r>
            <w:r>
              <w:rPr>
                <w:rStyle w:val="9"/>
                <w:rFonts w:ascii="Times New Roman" w:hAnsi="Times New Roman" w:eastAsia="微软雅黑" w:cs="Times New Roman"/>
                <w:sz w:val="21"/>
                <w:szCs w:val="21"/>
                <w:lang w:bidi="ar"/>
              </w:rPr>
              <w:t>FMEA</w:t>
            </w: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与过程系统风险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过程流程图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特殊特性矩阵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过程</w:t>
            </w:r>
            <w:r>
              <w:rPr>
                <w:rStyle w:val="9"/>
                <w:rFonts w:ascii="Times New Roman" w:hAnsi="Times New Roman" w:eastAsia="微软雅黑" w:cs="Times New Roman"/>
                <w:sz w:val="21"/>
                <w:szCs w:val="21"/>
                <w:lang w:bidi="ar"/>
              </w:rPr>
              <w:t>FMEA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关键控制特性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工艺改善计划实施与评估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OTS</w:t>
            </w: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样件与有效生产控制计划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制造与检验规范的策划与实施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包装标准与物流策划</w:t>
            </w:r>
          </w:p>
        </w:tc>
        <w:tc>
          <w:tcPr>
            <w:tcW w:w="22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8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案例研究</w:t>
            </w:r>
            <w:r>
              <w:rPr>
                <w:rStyle w:val="9"/>
                <w:rFonts w:ascii="Times New Roman" w:hAnsi="Times New Roman" w:eastAsia="微软雅黑" w:cs="Times New Roman"/>
                <w:sz w:val="21"/>
                <w:szCs w:val="21"/>
                <w:lang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产品和过程确认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有效生产的策划与实施</w:t>
            </w:r>
          </w:p>
        </w:tc>
        <w:tc>
          <w:tcPr>
            <w:tcW w:w="3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22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提问及回答老师问题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如何通过有效生产验证</w:t>
            </w:r>
          </w:p>
        </w:tc>
        <w:tc>
          <w:tcPr>
            <w:tcW w:w="3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过程能力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测量系统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生产节拍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质量目标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设计目标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可靠性目标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包装规范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作业指导书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5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先期策划总结与量产控制计划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8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案例研究</w:t>
            </w:r>
            <w:r>
              <w:rPr>
                <w:rStyle w:val="9"/>
                <w:rFonts w:ascii="Times New Roman" w:hAnsi="Times New Roman" w:eastAsia="微软雅黑" w:cs="Times New Roman"/>
                <w:sz w:val="21"/>
                <w:szCs w:val="21"/>
                <w:lang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反馈、评定和纠正措施</w:t>
            </w:r>
          </w:p>
        </w:tc>
        <w:tc>
          <w:tcPr>
            <w:tcW w:w="5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初期流动管理与早期遏制</w:t>
            </w:r>
          </w:p>
        </w:tc>
        <w:tc>
          <w:tcPr>
            <w:tcW w:w="22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提问及回答老师问题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制造过程审核与持续改进</w:t>
            </w:r>
          </w:p>
        </w:tc>
        <w:tc>
          <w:tcPr>
            <w:tcW w:w="37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普通原因的研究与过程能力提升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制造过程审核与流程改进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顾客反馈的快速响应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课程小结：</w:t>
            </w:r>
          </w:p>
        </w:tc>
        <w:tc>
          <w:tcPr>
            <w:tcW w:w="5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PDCA</w:t>
            </w: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循环与同步技术的应用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内容小结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课程回顾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回答学员问题及疑点澄清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课程应用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辅导学员制订培训后的</w:t>
            </w:r>
            <w:r>
              <w:rPr>
                <w:rStyle w:val="9"/>
                <w:rFonts w:ascii="Times New Roman" w:hAnsi="Times New Roman" w:eastAsia="微软雅黑" w:cs="Times New Roman"/>
                <w:sz w:val="21"/>
                <w:szCs w:val="21"/>
                <w:lang w:bidi="ar"/>
              </w:rPr>
              <w:t>APQP</w:t>
            </w:r>
            <w:r>
              <w:rPr>
                <w:rStyle w:val="10"/>
                <w:rFonts w:hint="default" w:ascii="Times New Roman" w:hAnsi="Times New Roman" w:eastAsia="微软雅黑" w:cs="Times New Roman"/>
                <w:sz w:val="21"/>
                <w:szCs w:val="21"/>
                <w:lang w:bidi="ar"/>
              </w:rPr>
              <w:t>改善计划</w:t>
            </w:r>
          </w:p>
        </w:tc>
        <w:tc>
          <w:tcPr>
            <w:tcW w:w="22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制订培训后的应用计划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b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应用过程中可能出现的问题及解决途径</w:t>
            </w:r>
          </w:p>
        </w:tc>
        <w:tc>
          <w:tcPr>
            <w:tcW w:w="22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</w:tbl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刘老师</w:t>
      </w:r>
    </w:p>
    <w:p>
      <w:pPr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szCs w:val="21"/>
        </w:rPr>
        <w:t>国内知名大学工商硕士、6Sigma 黑带、高级培训师、资深顾问。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资质与专业领域：</w:t>
      </w:r>
    </w:p>
    <w:p>
      <w:pPr>
        <w:numPr>
          <w:ilvl w:val="0"/>
          <w:numId w:val="5"/>
        </w:numPr>
        <w:spacing w:line="4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AIAG Qualified Trainer  AIAG认可培训师</w:t>
      </w:r>
    </w:p>
    <w:p>
      <w:pPr>
        <w:spacing w:line="480" w:lineRule="exact"/>
        <w:ind w:left="420" w:leftChars="200"/>
        <w:rPr>
          <w:rFonts w:eastAsia="微软雅黑"/>
          <w:szCs w:val="21"/>
        </w:rPr>
      </w:pPr>
      <w:r>
        <w:rPr>
          <w:rFonts w:eastAsia="微软雅黑"/>
          <w:szCs w:val="21"/>
        </w:rPr>
        <w:t>（ISO 9001:2015 &amp; IATF 16949:2016标准及第一方/第二方审核员培训、五大工具、CQI-8、CQI-20等）</w:t>
      </w:r>
    </w:p>
    <w:p>
      <w:pPr>
        <w:numPr>
          <w:ilvl w:val="0"/>
          <w:numId w:val="5"/>
        </w:numPr>
        <w:spacing w:line="4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DNV Qualified Senior Trainer挪威船级社高级讲师</w:t>
      </w:r>
    </w:p>
    <w:p>
      <w:pPr>
        <w:numPr>
          <w:ilvl w:val="0"/>
          <w:numId w:val="5"/>
        </w:numPr>
        <w:spacing w:line="4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TüV NORD Qualified 2nd Auditor 德国汉德第二方审核员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工作经历：</w:t>
      </w:r>
    </w:p>
    <w:p>
      <w:pPr>
        <w:numPr>
          <w:ilvl w:val="0"/>
          <w:numId w:val="6"/>
        </w:numPr>
        <w:spacing w:line="4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行业经验：20年；</w:t>
      </w:r>
    </w:p>
    <w:p>
      <w:pPr>
        <w:numPr>
          <w:ilvl w:val="0"/>
          <w:numId w:val="6"/>
        </w:numPr>
        <w:spacing w:line="4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曾在数家跨国公司历任质量经理、制造经理、产品开发经理等职务，在质量管理、供应链管理、物流管理等方面积累了大量理论和实践经验；</w:t>
      </w:r>
    </w:p>
    <w:p>
      <w:pPr>
        <w:numPr>
          <w:ilvl w:val="0"/>
          <w:numId w:val="6"/>
        </w:numPr>
        <w:spacing w:line="4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后在某知名咨询公司任生产及质量的项目经理，在企业质量、现场改进方面拥有大量实战经验。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主讲课程：</w:t>
      </w:r>
    </w:p>
    <w:p>
      <w:pPr>
        <w:numPr>
          <w:ilvl w:val="0"/>
          <w:numId w:val="7"/>
        </w:numPr>
        <w:spacing w:line="4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QFD-质量功能展开，ShaininDOE-谢宁DOE，质量工具: FMEA/SPC/MSA/APQP/PPAP</w:t>
      </w:r>
    </w:p>
    <w:p>
      <w:pPr>
        <w:numPr>
          <w:ilvl w:val="0"/>
          <w:numId w:val="7"/>
        </w:numPr>
        <w:spacing w:line="480" w:lineRule="exact"/>
        <w:ind w:left="420" w:hanging="420"/>
        <w:rPr>
          <w:rFonts w:eastAsia="微软雅黑"/>
          <w:szCs w:val="21"/>
        </w:rPr>
      </w:pPr>
      <w:r>
        <w:rPr>
          <w:rFonts w:eastAsia="微软雅黑"/>
          <w:szCs w:val="21"/>
        </w:rPr>
        <w:t>IATF16949,  ISO/TS16949,  VDA6.3，VDA6.4，VDA6.5，CQI-8，Formel-Q</w:t>
      </w:r>
    </w:p>
    <w:p>
      <w:pPr>
        <w:numPr>
          <w:ilvl w:val="0"/>
          <w:numId w:val="7"/>
        </w:numPr>
        <w:spacing w:line="480" w:lineRule="exact"/>
        <w:ind w:left="420" w:hanging="420"/>
        <w:rPr>
          <w:rFonts w:eastAsia="微软雅黑"/>
          <w:szCs w:val="21"/>
        </w:rPr>
      </w:pPr>
      <w:r>
        <w:rPr>
          <w:rFonts w:eastAsia="微软雅黑"/>
          <w:szCs w:val="21"/>
        </w:rPr>
        <w:t>Six sigma,  现场质量管理与快速突破性改善，问题分析与解决解决（8D/5why）, 新旧QC七大工具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培训过的主要企业：</w:t>
      </w:r>
    </w:p>
    <w:p>
      <w:pPr>
        <w:tabs>
          <w:tab w:val="left" w:pos="425"/>
        </w:tabs>
        <w:spacing w:line="460" w:lineRule="exact"/>
        <w:ind w:left="425"/>
        <w:rPr>
          <w:rFonts w:eastAsia="微软雅黑"/>
          <w:szCs w:val="21"/>
        </w:rPr>
      </w:pPr>
      <w:r>
        <w:rPr>
          <w:rFonts w:eastAsia="微软雅黑"/>
          <w:b/>
          <w:color w:val="0000FF"/>
          <w:szCs w:val="21"/>
        </w:rPr>
        <w:t>微电子/家电及光通讯</w:t>
      </w:r>
      <w:r>
        <w:rPr>
          <w:rFonts w:eastAsia="微软雅黑"/>
          <w:szCs w:val="21"/>
        </w:rPr>
        <w:t xml:space="preserve"> </w:t>
      </w:r>
    </w:p>
    <w:p>
      <w:pPr>
        <w:tabs>
          <w:tab w:val="left" w:pos="425"/>
        </w:tabs>
        <w:spacing w:line="460" w:lineRule="exact"/>
        <w:ind w:left="425"/>
        <w:rPr>
          <w:rFonts w:eastAsia="微软雅黑"/>
          <w:szCs w:val="21"/>
        </w:rPr>
      </w:pPr>
      <w:r>
        <w:rPr>
          <w:rFonts w:eastAsia="微软雅黑"/>
          <w:szCs w:val="21"/>
        </w:rPr>
        <w:t xml:space="preserve">西门子 Siemens (Nanjing）联合汽车电子 UAES (Xi’an, Shanghai） 三星半导体 Samsung Semiconductor (Suzhou) ，CR 华润微电子 MICRO(Wuxi).博西华 B/S/H（Nanjing）裕克施乐,Oechsler(Taicang),安费诺 Amphenol(Changshu),Nader(Shanghai),SUPER(Jiashan,Lishui)，浙江亿力（上海，嘉善），日立海立 Hitachi Highly (Shanghai)etc., </w:t>
      </w:r>
    </w:p>
    <w:p>
      <w:pPr>
        <w:tabs>
          <w:tab w:val="left" w:pos="425"/>
        </w:tabs>
        <w:spacing w:line="460" w:lineRule="exact"/>
        <w:ind w:left="425"/>
        <w:rPr>
          <w:rFonts w:eastAsia="微软雅黑"/>
          <w:szCs w:val="21"/>
        </w:rPr>
      </w:pPr>
      <w:r>
        <w:rPr>
          <w:rFonts w:eastAsia="微软雅黑"/>
          <w:b/>
          <w:color w:val="0000FF"/>
          <w:szCs w:val="21"/>
        </w:rPr>
        <w:t>航天航空及交通运输</w:t>
      </w:r>
      <w:r>
        <w:rPr>
          <w:rFonts w:eastAsia="微软雅黑"/>
          <w:szCs w:val="21"/>
        </w:rPr>
        <w:t xml:space="preserve"> </w:t>
      </w:r>
    </w:p>
    <w:p>
      <w:pPr>
        <w:tabs>
          <w:tab w:val="left" w:pos="425"/>
        </w:tabs>
        <w:spacing w:line="460" w:lineRule="exact"/>
        <w:ind w:left="425"/>
        <w:rPr>
          <w:rFonts w:eastAsia="微软雅黑"/>
          <w:szCs w:val="21"/>
        </w:rPr>
      </w:pPr>
      <w:r>
        <w:rPr>
          <w:rFonts w:eastAsia="微软雅黑"/>
          <w:szCs w:val="21"/>
        </w:rPr>
        <w:t xml:space="preserve">博世 Bosch (Wuxi),伊顿 Eaton (Wuxi),卡特彼勒 Caterpillar (Wuxi)，法雷奥 Valeo (Wenling）大众联合 Volkswagen Allied (Shanghai,Nanjing),李尔 Lear (Shanghai), 德尔福 Delphi (Shanghai), 科世达 KOSTAL Gmbh（Shanghai， Changchun, 麦格纳 MagnaDonnelly（Shanghai）,申雅密封 SAICM-ETZELER/(Shanghai), 纳铁福 SAIC-GKN （Changchun）, 格特拉克 GETRAG (Nanchang, Ganzhou), 康斯博格 Kongsberg (Shanghai，Wuxi), 博格华纳 BorgWarner(Ningbo), 丰田-电装 Toyota-Denso (Kunshan), 恩斯克 NSK（Hangzhou）江铃汽车 JMC(Nanchang), 奇瑞汽车 Chery Auto (Wuhu), 福耀玻璃 Fuyao Glass(Shanghai,Beijin）韩泰轮胎 Hankook(Jiaxing), 东洋轮胎 TOYOTIRE(Hangzhou),徐工集团 XCMG(Xuzhou)，西川 NISHKAWA (Shanghai),无锡地铁 WUXI METRO()Wuxi),，万 向集团 WANXIANG GROUP（Hangzhou）etc., </w:t>
      </w:r>
    </w:p>
    <w:p>
      <w:pPr>
        <w:tabs>
          <w:tab w:val="left" w:pos="425"/>
        </w:tabs>
        <w:spacing w:line="460" w:lineRule="exact"/>
        <w:ind w:left="425"/>
        <w:rPr>
          <w:rFonts w:eastAsia="微软雅黑"/>
          <w:szCs w:val="21"/>
        </w:rPr>
      </w:pPr>
      <w:r>
        <w:rPr>
          <w:rFonts w:eastAsia="微软雅黑"/>
          <w:b/>
          <w:color w:val="0000FF"/>
          <w:szCs w:val="21"/>
        </w:rPr>
        <w:t>化工/医疗/新能源及新材料</w:t>
      </w:r>
      <w:r>
        <w:rPr>
          <w:rFonts w:eastAsia="微软雅黑"/>
          <w:szCs w:val="21"/>
        </w:rPr>
        <w:t xml:space="preserve"> </w:t>
      </w:r>
    </w:p>
    <w:p>
      <w:pPr>
        <w:tabs>
          <w:tab w:val="left" w:pos="425"/>
        </w:tabs>
        <w:spacing w:line="460" w:lineRule="exact"/>
        <w:ind w:left="425"/>
        <w:rPr>
          <w:rFonts w:eastAsia="微软雅黑"/>
          <w:szCs w:val="21"/>
        </w:rPr>
      </w:pPr>
      <w:r>
        <w:rPr>
          <w:rFonts w:eastAsia="微软雅黑"/>
          <w:szCs w:val="21"/>
        </w:rPr>
        <w:t>江 苏 时 代 CATL(Liyang), CHNT(Haining), 阿 特 斯 阳 光 CanadianSolar （ Changshu ） ， 皮 尔 金 顿 PILKINGTON(Shanghai);NOK（Wuxi）, 住友电木 SUMITOMO ELECTRIC (Suzhou, Shanghai), 江苏兴达 Jiangsu Xingda, 华 翔 Huaxiang, 一 汽 铸 造 FAW Foundry(Chengdu ） ,Jiangxi Copper Corp 江 铜 集 团 （Nanchang）,TAEKWANG 泰光化纤（常熟），南微医学 Micro-Tech Endoscopy Gastroenterology（Nanjing）， 赛诺菲 sanofi avents(Hangzhou),梅特勒-托利多 METTLER TOLEDO,雅培 Abbott(Hangzhou),道达尔 TOTAL （Zhenjiang）etc.,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F5B10D"/>
    <w:multiLevelType w:val="singleLevel"/>
    <w:tmpl w:val="C7F5B10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989824D"/>
    <w:multiLevelType w:val="singleLevel"/>
    <w:tmpl w:val="E989824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0000009"/>
    <w:multiLevelType w:val="singleLevel"/>
    <w:tmpl w:val="00000009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4E193420"/>
    <w:multiLevelType w:val="singleLevel"/>
    <w:tmpl w:val="4E19342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7EE708B"/>
    <w:multiLevelType w:val="singleLevel"/>
    <w:tmpl w:val="57EE70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6AA472B8"/>
    <w:multiLevelType w:val="singleLevel"/>
    <w:tmpl w:val="6AA472B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2ExOGY5NDQxYmM1NmJlNzk5NmNiZmE0OWVkNTYifQ=="/>
  </w:docVars>
  <w:rsids>
    <w:rsidRoot w:val="42C44B53"/>
    <w:rsid w:val="42C4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font31"/>
    <w:uiPriority w:val="0"/>
    <w:rPr>
      <w:rFonts w:ascii="Arial" w:hAnsi="Arial" w:cs="Arial"/>
      <w:b/>
      <w:color w:val="000000"/>
      <w:sz w:val="22"/>
      <w:szCs w:val="22"/>
      <w:u w:val="none"/>
    </w:rPr>
  </w:style>
  <w:style w:type="character" w:customStyle="1" w:styleId="8">
    <w:name w:val="font21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4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0">
    <w:name w:val="font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2022-08-15T06:33:00Z</dcterms:created>
  <dc:creator>冯婷婷</dc:creator>
  <cp:lastModifiedBy>冯婷婷</cp:lastModifiedBy>
  <dcterms:modified xsi:type="dcterms:W3CDTF">2022-08-15T06:34:37Z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1A807D31B0244E36BB6747747ACD3AFC</vt:lpwstr>
  </property>
</Properties>
</file>