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center" w:pos="4879"/>
          <w:tab w:val="left" w:pos="7289"/>
        </w:tabs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sz w:val="30"/>
          <w:szCs w:val="30"/>
          <w:lang w:eastAsia="zh-TW"/>
        </w:rPr>
        <w:t>【MTP】可落地的中层管理者的管理技能提升工作坊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eastAsia="zh-CN"/>
        </w:rPr>
        <w:t>【课程时间】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月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11-12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eastAsia="zh-CN"/>
        </w:rPr>
        <w:t>【培训</w:t>
      </w: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val="en-US" w:eastAsia="zh-CN"/>
        </w:rPr>
        <w:t>地点</w:t>
      </w: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东莞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eastAsia="zh-CN"/>
        </w:rPr>
        <w:t>【培训费用】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RMB3800 元/人，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会员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张票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（含培训费、教材费、税费、茶点）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eastAsia="zh-CN"/>
        </w:rPr>
        <w:t>【课程对象】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储备干部、各层管理者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eastAsia="zh-CN"/>
        </w:rPr>
        <w:t>【报名电话】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彩云老师 1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3719291959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微软雅黑" w:hAnsi="微软雅黑" w:eastAsia="微软雅黑" w:cs="微软雅黑"/>
          <w:b/>
          <w:color w:val="00B0F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</w:rPr>
        <w:t>【课程背景】</w:t>
      </w:r>
    </w:p>
    <w:p>
      <w:pPr>
        <w:pStyle w:val="5"/>
        <w:spacing w:before="0" w:beforeAutospacing="0" w:after="0" w:afterAutospacing="0" w:line="240" w:lineRule="auto"/>
        <w:ind w:firstLine="360" w:firstLineChars="200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法国著名寓言大师拉封丹曾讲过一则关于“胃和四肢”的故事：四肢已经懒得再为胃工作了，它们决心要过绅士般悠闲的生活。大家都以四肢为榜样，什么也不干，并说：“没有我们的劳动，胃只能去喝西北风。我们受苦流汗，像牲畜般劳作，就为了它一个，我们的辛勤劳动换来的只是它饱吃饱喝，罢工吧，只有这样，才能使胃明白，是我们供养了它。”</w:t>
      </w:r>
    </w:p>
    <w:p>
      <w:pPr>
        <w:pStyle w:val="5"/>
        <w:spacing w:before="0" w:beforeAutospacing="0" w:after="0" w:afterAutospacing="0" w:line="240" w:lineRule="auto"/>
        <w:ind w:firstLine="360" w:firstLineChars="200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大家如是说，也就这般去做，手不拿，臂不挥，两腿也歇着，大伙齐心让胃自己想办法去找吃的喝的，然而，大伙犯了个后悔不迭的错误：四肢这些可怜的东西很快就感到衰弱了，心脏没有新的血液供给，四肢难受，逐渐没有了力气。这个时候四肢终于明白了，它们认为悠闲的胃，对集体的贡献实际上不比任何人少。</w:t>
      </w:r>
    </w:p>
    <w:p>
      <w:pPr>
        <w:pStyle w:val="5"/>
        <w:spacing w:before="0" w:beforeAutospacing="0" w:after="0" w:afterAutospacing="0" w:line="240" w:lineRule="auto"/>
        <w:ind w:firstLine="36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这则关于“胃和四肢”的故事告诉了我们两个重要的管理学原理：</w:t>
      </w:r>
    </w:p>
    <w:p>
      <w:pPr>
        <w:pStyle w:val="5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第一、在一个企业里面，每一个人的分工是不同的，每一个人的职责也是有所差异的。一个优秀的管理者需要清楚自己的职责与他人职责的差异性，对自己的角色要有一个清醒的认识，不能使自己的角色发生错位的现象。</w:t>
      </w:r>
    </w:p>
    <w:p>
      <w:pPr>
        <w:pStyle w:val="5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第二、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只有每一个职位上的人都各司其职，各尽其责，一个整体才能有机的运作起来，而每一个人的利益才能够从整体的运作当中获得。</w:t>
      </w:r>
    </w:p>
    <w:p>
      <w:pPr>
        <w:pStyle w:val="5"/>
        <w:spacing w:before="0" w:beforeAutospacing="0" w:after="0" w:afterAutospacing="0" w:line="240" w:lineRule="auto"/>
        <w:ind w:firstLine="360" w:firstLineChars="200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作为一名管理者，他上任后应该做的第一件事情就是去弄清楚自己的身份与职责，对自己有一个明确而清晰的定位。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B0F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</w:rPr>
        <w:t>【课程特色】</w:t>
      </w:r>
    </w:p>
    <w:p>
      <w:pPr>
        <w:adjustRightInd w:val="0"/>
        <w:snapToGrid w:val="0"/>
        <w:spacing w:line="240" w:lineRule="auto"/>
        <w:ind w:firstLine="424" w:firstLineChars="236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授课过程采用SPOT团队引导与共创学习 -- 保障学员的【学习+研讨+分享+访谈+训练】五维一体</w:t>
      </w:r>
    </w:p>
    <w:p>
      <w:pPr>
        <w:pStyle w:val="12"/>
        <w:adjustRightInd w:val="0"/>
        <w:snapToGrid w:val="0"/>
        <w:spacing w:line="240" w:lineRule="auto"/>
        <w:ind w:firstLine="424" w:firstLineChars="236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亮点1：以小组为单位，针对问题做研讨，实操练习</w:t>
      </w:r>
    </w:p>
    <w:p>
      <w:pPr>
        <w:pStyle w:val="12"/>
        <w:adjustRightInd w:val="0"/>
        <w:snapToGrid w:val="0"/>
        <w:spacing w:line="240" w:lineRule="auto"/>
        <w:ind w:firstLine="424" w:firstLineChars="236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亮点2：现场邀请学员分享，讲师访谈，实操教学</w:t>
      </w:r>
    </w:p>
    <w:p>
      <w:pPr>
        <w:pStyle w:val="12"/>
        <w:adjustRightInd w:val="0"/>
        <w:snapToGrid w:val="0"/>
        <w:spacing w:line="240" w:lineRule="auto"/>
        <w:ind w:firstLine="424" w:firstLineChars="236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亮点3：摒弃传统课程重理论轻实战的缺点，实战练习，即学即用</w:t>
      </w:r>
    </w:p>
    <w:p>
      <w:pPr>
        <w:pStyle w:val="12"/>
        <w:adjustRightInd w:val="0"/>
        <w:snapToGrid w:val="0"/>
        <w:spacing w:line="240" w:lineRule="auto"/>
        <w:ind w:firstLine="424" w:firstLineChars="236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B0F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</w:rPr>
        <w:t>【课程大纲】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第一篇：管理者认知与格局提升</w:t>
      </w:r>
    </w:p>
    <w:p>
      <w:pPr>
        <w:pStyle w:val="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管理者的认知升级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1、案例研讨：故事的结局都由哪些因素决定</w:t>
      </w:r>
    </w:p>
    <w:p>
      <w:pPr>
        <w:pStyle w:val="5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学员反思：为什么会出现这样的结局？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2、管理者现有状态的描述</w:t>
      </w:r>
    </w:p>
    <w:p>
      <w:pPr>
        <w:pStyle w:val="5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学员反思：为什么会出现这样的状态？</w:t>
      </w:r>
    </w:p>
    <w:p>
      <w:pPr>
        <w:pStyle w:val="5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学员反思：产生这些状态的根本原因都有哪些？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3、视频案例分析：《看视频学管理》</w:t>
      </w:r>
    </w:p>
    <w:p>
      <w:pPr>
        <w:pStyle w:val="5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学员研讨：视频的人物分别处于什么样的岗位？</w:t>
      </w:r>
    </w:p>
    <w:p>
      <w:pPr>
        <w:pStyle w:val="5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学员研讨：他们在各自的岗位上做出了哪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  <w:t>些正确的行为？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  <w:t>1）高层管理者的关注点和管理行为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  <w:t>2）中层管理者的关注点和管理行为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  <w:t>3）基层管理者或员工的关注点和管理行为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  <w:t>4、管理者的两种权力使用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  <w:t>1）威权的使用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18"/>
          <w:szCs w:val="18"/>
        </w:rPr>
        <w:t>2）威信的运用</w:t>
      </w:r>
    </w:p>
    <w:p>
      <w:pPr>
        <w:pStyle w:val="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管理者的格局提升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1、管理者的格局提升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1）从骨干员工到管理者，从基层管理者到中高层</w:t>
      </w: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学员研讨：管理者的能力自评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2）4种管理者的能力状态，对应4种提升路径</w:t>
      </w: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学员研讨：诸葛亮是一个合格的管理者吗？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3）管理者视野与格局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2、管理者的成长路径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1）管理者的3个成长阶段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2）管理者9段成长路径</w:t>
      </w: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学员反思：从九段秘书的案例，你想到了什么？</w:t>
      </w: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案例总结：你处在哪个阶段，你的成长路径是什么？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3）基础三段：合格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4）中级三段：优秀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5）高级三段：卓越</w:t>
      </w: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学员练习：正确梳理自己的成长路径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3、学员反思与总结：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1）你的管理行为存在问题吗？你的管理路径应该如何升级？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2）你在管理工作上的改善点主要有哪些？你打算马上调整的是什么？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第二篇：目标制定与时间计划执行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一、目标管理的定义与价值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1、为什么我们需要目标管理？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2、目标管理的意义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1）案例分析：视频案例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2）学员研讨：不同级别的管理者，目标管理如何有效落地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3）组织中不同层次的管理者，需建立不同级别的目标管理意识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3、目标管理的基本属性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1）目标管理的定义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2）目标管理的关键属性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二、目标设定与目标管理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3424555</wp:posOffset>
            </wp:positionH>
            <wp:positionV relativeFrom="paragraph">
              <wp:posOffset>41275</wp:posOffset>
            </wp:positionV>
            <wp:extent cx="1892300" cy="1955800"/>
            <wp:effectExtent l="0" t="0" r="0" b="635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595" cy="195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1、目标设定的3个维度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1）案例分析：视频案例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2）从管理的视角看待目标设定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3）目标设定三维度：岗位绩效，团队优化，客户支持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4）学员练习：基于3个维度制定目标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2、这个目标清楚明确吗？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1）彼德·德鲁克对目标的要求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2）目标设定的SMART原则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3）学员练习：采用SMART原则优化你的目标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3、目标分解：阶段进度管理，精准制定策略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1）目标分解法：剥洋葱法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2）目标分解线：时间线 &amp; 里程碑线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Step 01学员输出：结合个人和部门情况，完成《目标制定与目标分解表》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4、目标共享：团队对目标的价值认同和内容认同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1）团队协作训练：体验式学习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2）关键价值：团队对目标内容的共识，对目标价值的认同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3）决策公式：ED=CD*RD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4）团队目标共享的沟通策略：目标共识4步法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5）团队目标下达的沟通策略：让步式提问法MTSP法则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6）学员练习：如何基于相应工作完成目标共享和目标下达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三、计划的制定与策略分析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1、计划制定的核心管理工具：PDCA循环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1）PDCA循环的起源及价值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2）PDCA循环的阶梯式迭代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2、PDCA循环的4阶8步法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1）PDCA循环的4个阶段：Plan、Do、Check、Adjust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2）PDCA循环的8个步骤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3、使用PDCA循环完成计划制定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1）分析团队现状，识别差距与困难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2）分析差距和困难存在的原因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3）找到目标达成的关键障碍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4）针对主要原因分析策略，制定计划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5）学员练习：策略决策的二维决策矩阵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6）学员练习：结合决策矩阵完成计划制定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7）计划制定中的时间管理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8）案例分析：时间四象限管理法与工作安排</w:t>
      </w:r>
    </w:p>
    <w:p>
      <w:pPr>
        <w:widowControl w:val="0"/>
        <w:adjustRightInd w:val="0"/>
        <w:snapToGrid w:val="0"/>
        <w:spacing w:line="240" w:lineRule="auto"/>
        <w:ind w:firstLine="318" w:firstLineChars="177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9）学员练习：使用甘特图完成计划制定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Step 02 学员输出：完整的《工作计划甘特图表》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第三篇：部属培育与工作分工授权</w:t>
      </w:r>
    </w:p>
    <w:p>
      <w:pPr>
        <w:pStyle w:val="5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部属培育的意义与价值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1、21世纪最缺的是？</w:t>
      </w:r>
    </w:p>
    <w:p>
      <w:pPr>
        <w:pStyle w:val="5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人才、人材、人财、人灾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2、部属培育的重要性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1）管理者的角度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2）部属的角度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3、部属培育的价值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二、部属培育的实施技巧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 xml:space="preserve">1、自我诊断：你有做部属培育吗？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2、部属培育的主观意愿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1）正确认知“不愿意”的现象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2）出现“不愿意”现象的原因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3）解决“不愿意”现象的方法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3、部属培育的需求分析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1）找出培育需求的方法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2）找出培育需求的工具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4、部属培育的实施方法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5、部属培育需要因人而异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三、激励的基本原理与价值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1、激励的基本原理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1）激励的相关因素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2）需求、动机与行为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2、团队成员的工作动力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1）内部因素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2）外部因素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3、人的动机与马斯洛需求原理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1）人的基本需求与被激励的关系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2）基于马斯洛需求原理来判断员工需求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实战案例分析：员工激励无处不在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4、五个低成本高收益的激励方式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1）案例分析：3个故事案例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2）学员反思：这几个故事中运用了哪几种激励方式？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3）学员反思：为什么这些激励方式能够产生效果？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4）实战练习：如果把这五种激励方式放到你的团队，你会如何实施呢？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四、团队分工与授权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1、分工与指派需要思考的问题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2、有效分工的标准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3、分工与指派的步骤与程序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4、授权的4个层次</w:t>
      </w:r>
    </w:p>
    <w:p>
      <w:pPr>
        <w:adjustRightInd w:val="0"/>
        <w:snapToGrid w:val="0"/>
        <w:spacing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1）指挥式：听旨（wait until told）行动前等候</w:t>
      </w:r>
    </w:p>
    <w:p>
      <w:pPr>
        <w:adjustRightInd w:val="0"/>
        <w:snapToGrid w:val="0"/>
        <w:spacing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2）批准式：问斩（ask，what to do）先请示再行动</w:t>
      </w:r>
    </w:p>
    <w:p>
      <w:pPr>
        <w:adjustRightInd w:val="0"/>
        <w:snapToGrid w:val="0"/>
        <w:spacing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3）追踪式：先斩后奏（act and inform）先行动，在立即汇报</w:t>
      </w:r>
    </w:p>
    <w:p>
      <w:pPr>
        <w:adjustRightInd w:val="0"/>
        <w:snapToGrid w:val="0"/>
        <w:spacing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4）委托式：斩而不奏（act on your own）行动后定期汇报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5、授权过程与沟通</w:t>
      </w:r>
    </w:p>
    <w:p>
      <w:pPr>
        <w:adjustRightInd w:val="0"/>
        <w:snapToGrid w:val="0"/>
        <w:spacing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1）设定正确期望值</w:t>
      </w:r>
    </w:p>
    <w:p>
      <w:pPr>
        <w:adjustRightInd w:val="0"/>
        <w:snapToGrid w:val="0"/>
        <w:spacing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2）关注下属需求</w:t>
      </w:r>
    </w:p>
    <w:p>
      <w:pPr>
        <w:adjustRightInd w:val="0"/>
        <w:snapToGrid w:val="0"/>
        <w:spacing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3）有效沟通技巧</w:t>
      </w:r>
    </w:p>
    <w:p>
      <w:pPr>
        <w:adjustRightInd w:val="0"/>
        <w:snapToGrid w:val="0"/>
        <w:spacing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4）学员实操：授权沟通</w:t>
      </w: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第四篇：高效沟通技巧与实战应用</w:t>
      </w:r>
    </w:p>
    <w:p>
      <w:pPr>
        <w:pStyle w:val="5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入门篇：为什么要学习沟通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1、沟通是什么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案例分享：请客吃饭的故事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2）学员思考：为什么会出现这样的结果？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2、为什么会发生沟通不畅？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3、高情商沟通的核心前提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案例分享：杜拉拉升职记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42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）要想处理好事情，得先处理好心情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420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3）你有你的道理，别人有别人的心理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二、进阶篇：沟通中的心理学认知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1、有效评估你的沟通能力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1）沟通能力 不等于 表达能力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2）识别自己沟通能力的问题，是提升沟通能力的开始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2、乔哈里视窗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1）乔哈里视窗的基本概念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2）学员思考：4种类型的人最大的特点是什么？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3）要想提升自己的沟通能力，优先提升公开象限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4）提升自己公开象限的两种方法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学员实践：提升自己的公开象限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3、沟通中的心理学1：有艺术的表达肯定和认同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bookmarkStart w:id="0" w:name="_Hlk535587855"/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1）案例分析：错误的算术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2）案例分析：外交辞令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3）学员反思：日常工作中有哪些场合存在类似问题？我应该怎么做。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4、沟通中的心理学2：有艺术的提升双方共同点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1）案例分析：《少帅》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2）同频道的艺术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3）案例分析：《杜拉拉升职记》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4）同方向的艺术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5）案例分析：演讲的开场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6）同背景的艺术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5、沟通中的心理学3：有艺术的选择赞美和批评的层次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1）学员互动：如何有效的赞美和批评一个人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2）工具学习：人性五层次金字塔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3）案例练习：基于五层次的夸奖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三、实践篇：工作中沟通的实战应用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1、沟通中的三大实战技能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1）案例练习：邻居噪音扰民，你该怎么做？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5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2）沟通铁三角</w:t>
      </w:r>
    </w:p>
    <w:p>
      <w:pPr>
        <w:pStyle w:val="5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提问、聆听、反馈</w:t>
      </w:r>
    </w:p>
    <w:bookmarkEnd w:id="0"/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bookmarkStart w:id="1" w:name="_Hlk535589125"/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2、提问技巧的实战应用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1）提问4大技巧：“放宽维度”</w:t>
      </w:r>
    </w:p>
    <w:p>
      <w:pPr>
        <w:pStyle w:val="5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放：开放式问题</w:t>
      </w:r>
    </w:p>
    <w:p>
      <w:pPr>
        <w:pStyle w:val="5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宽：先宽度，再深度</w:t>
      </w:r>
    </w:p>
    <w:p>
      <w:pPr>
        <w:pStyle w:val="5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维：“为什么”与“如何”</w:t>
      </w:r>
    </w:p>
    <w:bookmarkEnd w:id="1"/>
    <w:p>
      <w:pPr>
        <w:pStyle w:val="5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度：度量式问题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2）提问技巧在绩效面谈中的应用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284" w:leftChars="142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A、开放式问题了解信息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284" w:leftChars="142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B、AE句式的使用，挖掘更多信息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284" w:leftChars="142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C、用提问引导对方做出承诺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3、聆听技巧的实战应用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1）聆听的3个层级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2）第一层级：聚焦自我的自动化聆听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6" w:leftChars="213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A、案例分析：看电影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6" w:leftChars="213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B、案例分析：工作不顺心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6" w:leftChars="213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C、</w:t>
      </w:r>
      <w:r>
        <w:rPr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自动化，个人化，反射式的聆听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3）第二层级：聚焦对方的支持性聆听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6" w:leftChars="213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A、</w:t>
      </w:r>
      <w:r>
        <w:rPr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关闭评判、自我反应和建议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6" w:leftChars="213" w:firstLine="318" w:firstLineChars="177"/>
        <w:rPr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B、</w:t>
      </w:r>
      <w:r>
        <w:rPr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承诺持续的聆听并激发他人深入表达。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4）第三层级：系统化的全方位聆听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6" w:leftChars="213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A、系统性聆听的逻辑结构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6" w:leftChars="213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B、全方位聆听的三个关键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426" w:leftChars="213"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学员练习：五只“耳朵”，全方位聆听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4、反馈技巧的实战应用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1）常见的3种反馈方式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318" w:firstLineChars="177"/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2）工作指令的下达工具：5W2H2R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ind w:firstLine="637" w:firstLineChars="354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Cs/>
          <w:color w:val="auto"/>
          <w:sz w:val="18"/>
          <w:szCs w:val="18"/>
        </w:rPr>
        <w:t>案例分析：小李的困惑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学习=学+习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真正的学习发生在行为改变之时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ascii="微软雅黑" w:hAnsi="微软雅黑" w:eastAsia="微软雅黑"/>
          <w:b/>
          <w:color w:val="0070C0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47625</wp:posOffset>
            </wp:positionV>
            <wp:extent cx="1664970" cy="2426970"/>
            <wp:effectExtent l="0" t="0" r="11430" b="11430"/>
            <wp:wrapSquare wrapText="bothSides"/>
            <wp:docPr id="11" name="图片 11" descr="娄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娄伟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真正的成长发生在习惯养成之后！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240" w:lineRule="auto"/>
        <w:rPr>
          <w:rStyle w:val="8"/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adjustRightInd w:val="0"/>
        <w:snapToGrid w:val="0"/>
        <w:spacing w:line="240" w:lineRule="auto"/>
        <w:jc w:val="both"/>
        <w:rPr>
          <w:rFonts w:hint="default" w:ascii="微软雅黑" w:hAnsi="微软雅黑" w:eastAsia="微软雅黑" w:cs="微软雅黑"/>
          <w:b/>
          <w:bCs w:val="0"/>
          <w:color w:val="00B0F0"/>
          <w:sz w:val="24"/>
          <w:szCs w:val="24"/>
          <w:lang w:val="en-US" w:eastAsia="zh-CN"/>
        </w:rPr>
      </w:pPr>
      <w:bookmarkStart w:id="2" w:name="_Hlk532225532"/>
      <w:r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lang w:val="en-US" w:eastAsia="zh-CN"/>
        </w:rPr>
        <w:t>讲师介绍</w:t>
      </w:r>
    </w:p>
    <w:p>
      <w:pPr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</w:rPr>
        <w:t>娄伟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</w:rPr>
        <w:t>老师</w:t>
      </w:r>
    </w:p>
    <w:p>
      <w:pPr>
        <w:pStyle w:val="13"/>
        <w:numPr>
          <w:ilvl w:val="0"/>
          <w:numId w:val="8"/>
        </w:numPr>
        <w:snapToGrid w:val="0"/>
        <w:spacing w:line="240" w:lineRule="auto"/>
        <w:ind w:firstLineChars="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10年世界500强企业（东芝）培训及管理经验</w:t>
      </w:r>
    </w:p>
    <w:p>
      <w:pPr>
        <w:numPr>
          <w:ilvl w:val="0"/>
          <w:numId w:val="8"/>
        </w:num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KTC 学习转化学院        院长&amp;首席导师</w:t>
      </w:r>
    </w:p>
    <w:p>
      <w:pPr>
        <w:numPr>
          <w:ilvl w:val="0"/>
          <w:numId w:val="8"/>
        </w:num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FNS 国际引导协会        SPOT团队引导师</w:t>
      </w:r>
    </w:p>
    <w:p>
      <w:pPr>
        <w:numPr>
          <w:ilvl w:val="0"/>
          <w:numId w:val="8"/>
        </w:num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索奥中国 · 世界咖啡      认证引导师</w:t>
      </w:r>
    </w:p>
    <w:p>
      <w:pPr>
        <w:numPr>
          <w:ilvl w:val="0"/>
          <w:numId w:val="8"/>
        </w:num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PAA 性格与能力测评      认证测评师</w:t>
      </w:r>
    </w:p>
    <w:p>
      <w:pPr>
        <w:numPr>
          <w:ilvl w:val="0"/>
          <w:numId w:val="8"/>
        </w:num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九型人格全球学院EPTP    认证培训师</w:t>
      </w:r>
    </w:p>
    <w:p>
      <w:pPr>
        <w:numPr>
          <w:ilvl w:val="0"/>
          <w:numId w:val="8"/>
        </w:num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国家二级心理咨询师</w:t>
      </w:r>
    </w:p>
    <w:p>
      <w:p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pStyle w:val="13"/>
        <w:numPr>
          <w:ilvl w:val="0"/>
          <w:numId w:val="9"/>
        </w:numPr>
        <w:snapToGrid w:val="0"/>
        <w:spacing w:line="240" w:lineRule="auto"/>
        <w:ind w:firstLineChars="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授课风格：</w:t>
      </w:r>
    </w:p>
    <w:p>
      <w:pPr>
        <w:snapToGrid w:val="0"/>
        <w:spacing w:line="240" w:lineRule="auto"/>
        <w:ind w:firstLine="360" w:firstLineChars="20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授课风格的最大特色在于逻辑性强、资料丰富、感染力强。讲授，互动，引导等多种方式的教学互动、内容详实的课程讲义、精心编写的案例、图文并茂的多媒体演示，现场就能看到培训效果，达到“学以致用，即学即用”的目标。</w:t>
      </w:r>
    </w:p>
    <w:p>
      <w:pPr>
        <w:snapToGrid w:val="0"/>
        <w:spacing w:line="240" w:lineRule="auto"/>
        <w:ind w:firstLine="360" w:firstLineChars="20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娄老师拥有10年世界500强企业的经营管理经验，并担任内训师多年，在人才培养，团队建设，企业管理等方面积累了大量的实战经验，提倡企业管理以人为本，只有科学培养团队中不同的人员，掌握相应的激励和沟通技巧，才能激发个人天赋，发挥其最大价值，实现团队强大的稳定性和效能输出。</w:t>
      </w:r>
    </w:p>
    <w:p>
      <w:pPr>
        <w:snapToGrid w:val="0"/>
        <w:spacing w:line="240" w:lineRule="auto"/>
        <w:ind w:firstLine="360" w:firstLineChars="20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近年来，娄老师专注于引导技术在学习项目落地与转化中的应用，持续采用SPOT引导技术，4R复盘技术等工具帮助学员在学习项目中增强知识建构与成果转化，提升学员的实战应用能力；深度挖掘引导技术在学习、教练、管理等领域的运用；大量的实战成果为企业的发展带来了帮助，并获得了企业和学员的广泛好评。</w:t>
      </w:r>
    </w:p>
    <w:bookmarkEnd w:id="2"/>
    <w:p>
      <w:pPr>
        <w:pStyle w:val="13"/>
        <w:numPr>
          <w:ilvl w:val="0"/>
          <w:numId w:val="9"/>
        </w:numPr>
        <w:snapToGrid w:val="0"/>
        <w:spacing w:line="240" w:lineRule="auto"/>
        <w:ind w:firstLineChars="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部分服务客户：</w:t>
      </w:r>
    </w:p>
    <w:p>
      <w:pPr>
        <w:spacing w:line="240" w:lineRule="auto"/>
        <w:ind w:firstLine="360" w:firstLineChars="20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中国移动、中国联通、中国平安、华为集团、东芝集团、格力集团、美的置业、天元设计院、深圳宝安桂林银行、广州黄船、广州环保投资集团 、富士康、景旺电子、福耀玻璃、潭洲国际会展中心、广东工贸技师学院、华胜集团、伟经集团、乐家（中国）、派特电器、会通集团、广东圆融、创美药业、湖南万事利、益言普道、广州红日、精通国际、金鹏精密、韩加电器、佛华裕、便捷神、金三江、顺科智汇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eastAsia="zh-CN"/>
        </w:rPr>
        <w:t>、司米橱柜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等</w:t>
      </w:r>
    </w:p>
    <w:p>
      <w:pPr>
        <w:pStyle w:val="13"/>
        <w:numPr>
          <w:ilvl w:val="0"/>
          <w:numId w:val="0"/>
        </w:num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</w:p>
    <w:p>
      <w:pPr>
        <w:pStyle w:val="13"/>
        <w:numPr>
          <w:ilvl w:val="0"/>
          <w:numId w:val="0"/>
        </w:numPr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sectPr>
          <w:headerReference r:id="rId3" w:type="default"/>
          <w:pgSz w:w="11906" w:h="16838"/>
          <w:pgMar w:top="1157" w:right="1151" w:bottom="1157" w:left="1151" w:header="851" w:footer="992" w:gutter="0"/>
          <w:cols w:space="425" w:num="1"/>
          <w:docGrid w:type="lines" w:linePitch="312" w:charSpace="0"/>
        </w:sectPr>
      </w:pPr>
    </w:p>
    <w:p>
      <w:pPr>
        <w:pStyle w:val="13"/>
        <w:numPr>
          <w:ilvl w:val="0"/>
          <w:numId w:val="9"/>
        </w:numPr>
        <w:snapToGrid w:val="0"/>
        <w:spacing w:line="240" w:lineRule="auto"/>
        <w:ind w:firstLineChars="0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部分培训项目：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 xml:space="preserve"> 中国移动河南公司经理人员综合测评项目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 xml:space="preserve"> 中国移动江苏公司、西藏公司新员工培养项目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 xml:space="preserve"> 广州地铁商业公司“2019年度工作总结复盘”研讨会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珠海格力电器新元电子“将才计划”管理者能力提升项目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美的集团天元设计院“基石计划”一期训练营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容声厨卫中层管理者能力提升训练营项目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广东中地集团MTP中高层管理干部能力提升训练项目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深圳宝安桂银村镇银行中高层领导训练营项目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佛山市潭洲国际会展中心“领英计划”培训项目一期、二期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广州市工贸技师学院《中层管理者培训》课程资源包开发项目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美的集团置业公司TTT内训团队培养及内训课程开发项目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东芝家用电器销售公司TTT内训师团队培养项目</w:t>
      </w:r>
    </w:p>
    <w:p>
      <w:pPr>
        <w:numPr>
          <w:ilvl w:val="0"/>
          <w:numId w:val="10"/>
        </w:num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sectPr>
          <w:type w:val="continuous"/>
          <w:pgSz w:w="11906" w:h="16838"/>
          <w:pgMar w:top="1157" w:right="1151" w:bottom="1157" w:left="1151" w:header="851" w:footer="992" w:gutter="0"/>
          <w:cols w:equalWidth="0" w:num="2">
            <w:col w:w="4589" w:space="425"/>
            <w:col w:w="4589"/>
          </w:cols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创美集团TTT内训师团队组建及课程开发培训项目</w:t>
      </w:r>
    </w:p>
    <w:p>
      <w:pPr>
        <w:spacing w:line="240" w:lineRule="auto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</w:p>
    <w:sectPr>
      <w:type w:val="continuous"/>
      <w:pgSz w:w="11906" w:h="16838"/>
      <w:pgMar w:top="1157" w:right="1151" w:bottom="1157" w:left="11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Theme="minorEastAsia"/>
      </w:rPr>
    </w:pPr>
    <w:r>
      <w:rPr>
        <w:rFonts w:hint="eastAsia" w:ascii="宋体" w:hAnsi="宋体" w:eastAsia="宋体" w:cs="宋体"/>
      </w:rPr>
      <w:t>中层管理者的管理技能提升</w:t>
    </w:r>
    <w:r>
      <w:ptab w:relativeTo="margin" w:alignment="center" w:leader="none"/>
    </w:r>
    <w:r>
      <w:ptab w:relativeTo="margin" w:alignment="right" w:leader="none"/>
    </w:r>
    <w:r>
      <w:rPr>
        <w:rFonts w:hint="eastAsia" w:eastAsiaTheme="minorEastAsia"/>
      </w:rPr>
      <w:t>课程</w:t>
    </w:r>
    <w:r>
      <w:rPr>
        <w:rFonts w:eastAsiaTheme="minorEastAsia"/>
      </w:rPr>
      <w:t>介绍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B0F54"/>
    <w:multiLevelType w:val="multilevel"/>
    <w:tmpl w:val="1E7B0F54"/>
    <w:lvl w:ilvl="0" w:tentative="0">
      <w:start w:val="1"/>
      <w:numFmt w:val="bullet"/>
      <w:lvlText w:val="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abstractNum w:abstractNumId="1">
    <w:nsid w:val="24CA1144"/>
    <w:multiLevelType w:val="multilevel"/>
    <w:tmpl w:val="24CA1144"/>
    <w:lvl w:ilvl="0" w:tentative="0">
      <w:start w:val="1"/>
      <w:numFmt w:val="bullet"/>
      <w:lvlText w:val="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abstractNum w:abstractNumId="2">
    <w:nsid w:val="2B3424ED"/>
    <w:multiLevelType w:val="multilevel"/>
    <w:tmpl w:val="2B3424ED"/>
    <w:lvl w:ilvl="0" w:tentative="0">
      <w:start w:val="1"/>
      <w:numFmt w:val="bullet"/>
      <w:lvlText w:val="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abstractNum w:abstractNumId="3">
    <w:nsid w:val="46D22D0E"/>
    <w:multiLevelType w:val="multilevel"/>
    <w:tmpl w:val="46D22D0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983441B"/>
    <w:multiLevelType w:val="multilevel"/>
    <w:tmpl w:val="5983441B"/>
    <w:lvl w:ilvl="0" w:tentative="0">
      <w:start w:val="1"/>
      <w:numFmt w:val="bullet"/>
      <w:lvlText w:val="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abstractNum w:abstractNumId="5">
    <w:nsid w:val="5EB33650"/>
    <w:multiLevelType w:val="multilevel"/>
    <w:tmpl w:val="5EB33650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B07BDF"/>
    <w:multiLevelType w:val="multilevel"/>
    <w:tmpl w:val="64B07BD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57F01E6"/>
    <w:multiLevelType w:val="multilevel"/>
    <w:tmpl w:val="657F01E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1A220C9"/>
    <w:multiLevelType w:val="multilevel"/>
    <w:tmpl w:val="71A220C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F644C8"/>
    <w:multiLevelType w:val="multilevel"/>
    <w:tmpl w:val="7CF644C8"/>
    <w:lvl w:ilvl="0" w:tentative="0">
      <w:start w:val="1"/>
      <w:numFmt w:val="bullet"/>
      <w:lvlText w:val=""/>
      <w:lvlJc w:val="left"/>
      <w:pPr>
        <w:ind w:left="127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3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6080B"/>
    <w:rsid w:val="0001466C"/>
    <w:rsid w:val="000240CA"/>
    <w:rsid w:val="00056BE0"/>
    <w:rsid w:val="00056C76"/>
    <w:rsid w:val="0006691B"/>
    <w:rsid w:val="00070504"/>
    <w:rsid w:val="000B283F"/>
    <w:rsid w:val="000C2F1A"/>
    <w:rsid w:val="000E4A1E"/>
    <w:rsid w:val="0011665A"/>
    <w:rsid w:val="00142922"/>
    <w:rsid w:val="0016151F"/>
    <w:rsid w:val="00163626"/>
    <w:rsid w:val="00182718"/>
    <w:rsid w:val="001A3704"/>
    <w:rsid w:val="001A4608"/>
    <w:rsid w:val="001B365A"/>
    <w:rsid w:val="001E7DA4"/>
    <w:rsid w:val="00207E38"/>
    <w:rsid w:val="0021048B"/>
    <w:rsid w:val="00212A0B"/>
    <w:rsid w:val="00286DF8"/>
    <w:rsid w:val="002923D0"/>
    <w:rsid w:val="002B0AD0"/>
    <w:rsid w:val="002C6627"/>
    <w:rsid w:val="002D2D9C"/>
    <w:rsid w:val="002D7A6B"/>
    <w:rsid w:val="002F3FB3"/>
    <w:rsid w:val="00303065"/>
    <w:rsid w:val="003045A4"/>
    <w:rsid w:val="00305621"/>
    <w:rsid w:val="00307093"/>
    <w:rsid w:val="003325FA"/>
    <w:rsid w:val="00391E49"/>
    <w:rsid w:val="00392CF0"/>
    <w:rsid w:val="00392F36"/>
    <w:rsid w:val="003A6C14"/>
    <w:rsid w:val="003B284F"/>
    <w:rsid w:val="003B3FCD"/>
    <w:rsid w:val="003D5171"/>
    <w:rsid w:val="003D73F8"/>
    <w:rsid w:val="003E0E16"/>
    <w:rsid w:val="003E4A63"/>
    <w:rsid w:val="004002C4"/>
    <w:rsid w:val="00401BF6"/>
    <w:rsid w:val="004215AE"/>
    <w:rsid w:val="00446728"/>
    <w:rsid w:val="0047252A"/>
    <w:rsid w:val="00472CF0"/>
    <w:rsid w:val="00495381"/>
    <w:rsid w:val="004C326C"/>
    <w:rsid w:val="004E5796"/>
    <w:rsid w:val="004F16FE"/>
    <w:rsid w:val="00516CD7"/>
    <w:rsid w:val="00523817"/>
    <w:rsid w:val="00551B30"/>
    <w:rsid w:val="00571173"/>
    <w:rsid w:val="00575309"/>
    <w:rsid w:val="00590DEF"/>
    <w:rsid w:val="005930C1"/>
    <w:rsid w:val="00597D22"/>
    <w:rsid w:val="005A3529"/>
    <w:rsid w:val="005A4C59"/>
    <w:rsid w:val="005F0C87"/>
    <w:rsid w:val="0066168A"/>
    <w:rsid w:val="00663F3E"/>
    <w:rsid w:val="00680CC1"/>
    <w:rsid w:val="00687D34"/>
    <w:rsid w:val="00690590"/>
    <w:rsid w:val="006C61FF"/>
    <w:rsid w:val="006E672C"/>
    <w:rsid w:val="006E7134"/>
    <w:rsid w:val="00725EA4"/>
    <w:rsid w:val="00777DDB"/>
    <w:rsid w:val="007A3B83"/>
    <w:rsid w:val="007C21B1"/>
    <w:rsid w:val="007C4D65"/>
    <w:rsid w:val="007F6FB6"/>
    <w:rsid w:val="0080630C"/>
    <w:rsid w:val="00816143"/>
    <w:rsid w:val="00834719"/>
    <w:rsid w:val="008426DC"/>
    <w:rsid w:val="00856890"/>
    <w:rsid w:val="00864AA6"/>
    <w:rsid w:val="00871A0D"/>
    <w:rsid w:val="008831A3"/>
    <w:rsid w:val="00883C46"/>
    <w:rsid w:val="00896DB5"/>
    <w:rsid w:val="008A26A0"/>
    <w:rsid w:val="008B09F2"/>
    <w:rsid w:val="008B1108"/>
    <w:rsid w:val="008C4639"/>
    <w:rsid w:val="009033B6"/>
    <w:rsid w:val="00924DC4"/>
    <w:rsid w:val="0093044E"/>
    <w:rsid w:val="00937462"/>
    <w:rsid w:val="00984D3C"/>
    <w:rsid w:val="0099767F"/>
    <w:rsid w:val="009D740A"/>
    <w:rsid w:val="009E64CC"/>
    <w:rsid w:val="009F08CC"/>
    <w:rsid w:val="00A009D8"/>
    <w:rsid w:val="00A154CF"/>
    <w:rsid w:val="00A2612F"/>
    <w:rsid w:val="00A4193F"/>
    <w:rsid w:val="00A50CD8"/>
    <w:rsid w:val="00A8449B"/>
    <w:rsid w:val="00AE0444"/>
    <w:rsid w:val="00B44C72"/>
    <w:rsid w:val="00B52B9D"/>
    <w:rsid w:val="00B567FC"/>
    <w:rsid w:val="00B85FCF"/>
    <w:rsid w:val="00B97BCA"/>
    <w:rsid w:val="00BB26B7"/>
    <w:rsid w:val="00BC11F2"/>
    <w:rsid w:val="00C04644"/>
    <w:rsid w:val="00C21B73"/>
    <w:rsid w:val="00C30647"/>
    <w:rsid w:val="00C33E46"/>
    <w:rsid w:val="00C51CB7"/>
    <w:rsid w:val="00C52170"/>
    <w:rsid w:val="00C54A20"/>
    <w:rsid w:val="00C67C5D"/>
    <w:rsid w:val="00CC6BC5"/>
    <w:rsid w:val="00CE71E9"/>
    <w:rsid w:val="00CF0FCF"/>
    <w:rsid w:val="00CF25CD"/>
    <w:rsid w:val="00D01A99"/>
    <w:rsid w:val="00D03003"/>
    <w:rsid w:val="00D44B66"/>
    <w:rsid w:val="00DE1E57"/>
    <w:rsid w:val="00DE664C"/>
    <w:rsid w:val="00E14414"/>
    <w:rsid w:val="00E20B20"/>
    <w:rsid w:val="00E35881"/>
    <w:rsid w:val="00E47E40"/>
    <w:rsid w:val="00E56ECD"/>
    <w:rsid w:val="00E6080B"/>
    <w:rsid w:val="00E9358F"/>
    <w:rsid w:val="00EB7B19"/>
    <w:rsid w:val="00EC30B2"/>
    <w:rsid w:val="00F0207C"/>
    <w:rsid w:val="00F032EB"/>
    <w:rsid w:val="13C65158"/>
    <w:rsid w:val="1A8705DC"/>
    <w:rsid w:val="370F5690"/>
    <w:rsid w:val="44E47827"/>
    <w:rsid w:val="52950FA7"/>
    <w:rsid w:val="69A7782D"/>
    <w:rsid w:val="6A3053E5"/>
    <w:rsid w:val="6E353799"/>
    <w:rsid w:val="7AC10C3F"/>
    <w:rsid w:val="7B6D4522"/>
    <w:rsid w:val="7E8F334D"/>
    <w:rsid w:val="7F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p15"/>
    <w:basedOn w:val="1"/>
    <w:qFormat/>
    <w:uiPriority w:val="0"/>
    <w:pPr>
      <w:ind w:firstLine="42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="Calibri" w:hAnsi="Calibri" w:eastAsia="Calibri" w:cs="Arial"/>
      <w:kern w:val="0"/>
      <w:sz w:val="18"/>
      <w:szCs w:val="18"/>
    </w:rPr>
  </w:style>
  <w:style w:type="character" w:customStyle="1" w:styleId="15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A116-840A-4F97-A2F4-58C9FD42C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609</Words>
  <Characters>3476</Characters>
  <Lines>28</Lines>
  <Paragraphs>8</Paragraphs>
  <TotalTime>5</TotalTime>
  <ScaleCrop>false</ScaleCrop>
  <LinksUpToDate>false</LinksUpToDate>
  <CharactersWithSpaces>4077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2021-09-03T11:23:00Z</dcterms:created>
  <dc:creator>stanley</dc:creator>
  <cp:lastModifiedBy>阿也</cp:lastModifiedBy>
  <cp:lastPrinted>2017-08-21T08:46:00Z</cp:lastPrinted>
  <dcterms:modified xsi:type="dcterms:W3CDTF">2022-09-14T06:51:13Z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34F9012E0CDB4B298534853766504FC6</vt:lpwstr>
  </property>
</Properties>
</file>