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widowControl/>
        <w:spacing w:line="600" w:lineRule="auto"/>
        <w:ind w:left="420" w:firstLine="0" w:firstLineChars="0"/>
        <w:jc w:val="center"/>
        <w:rPr>
          <w:rStyle w:val="10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11668760</wp:posOffset>
                </wp:positionV>
                <wp:extent cx="9048115" cy="13473430"/>
                <wp:effectExtent l="6350" t="6350" r="13335" b="76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115" cy="13473430"/>
                          <a:chOff x="0" y="0"/>
                          <a:chExt cx="9048646" cy="13473587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184558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>
                            <a:solidFill>
                              <a:srgbClr val="2AB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8923283" y="378372"/>
                            <a:ext cx="125363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>
                            <a:solidFill>
                              <a:srgbClr val="2AB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9pt;margin-top:918.8pt;height:1060.9pt;width:712.45pt;z-index:251660288;mso-width-relative:page;mso-height-relative:page;" coordsize="9048646,13473587" o:gfxdata="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36Qzb94AAAAPAQAADwAAAAAAAAABACAAAAAiAAAAZHJzL2Rv&#10;d25yZXYueG1sUEsBAhQAFAAAAAgAh07iQMQUt58YAwAAUAkAAA4AAAAAAAAAAQAgAAAALQEAAGRy&#10;cy9lMm9Eb2MueG1sUEsFBgAAAAAGAAYAWQEAALcGAAAAAA==&#10;">
                <o:lock v:ext="edit" aspectratio="f"/>
                <v:rect id="_x0000_s1026" o:spid="_x0000_s1026" o:spt="1" style="position:absolute;left:0;top:0;height:13095215;width:184558;v-text-anchor:middle;" fillcolor="#2ABC8C" filled="t" stroked="t" coordsize="21600,21600" o:gfxdata="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oMc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ABC8C [3204]" miterlimit="8" joinstyle="miter"/>
                  <v:imagedata o:title=""/>
                  <o:lock v:ext="edit" aspectratio="f"/>
                </v:rect>
                <v:rect id="_x0000_s1026" o:spid="_x0000_s1026" o:spt="1" style="position:absolute;left:8923283;top:378372;height:13095215;width:125363;v-text-anchor:middle;" fillcolor="#2ABC8C" filled="t" stroked="t" coordsize="21600,21600" o:gfxdata="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H5Ja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ABC8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Theme="minorHAnsi" w:hAnsiTheme="minorHAnsi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1232535</wp:posOffset>
                </wp:positionH>
                <wp:positionV relativeFrom="paragraph">
                  <wp:posOffset>429260</wp:posOffset>
                </wp:positionV>
                <wp:extent cx="4138295" cy="520700"/>
                <wp:effectExtent l="4445" t="4445" r="17780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221" w:firstLineChars="50"/>
                              <w:jc w:val="center"/>
                              <w:rPr>
                                <w:rFonts w:eastAsia="宋体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阿里组织发展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lang w:val="en-US" w:eastAsia="zh-CN"/>
                              </w:rPr>
                              <w:t>OD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特训营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05pt;margin-top:33.8pt;height:41pt;width:325.85pt;mso-position-horizontal-relative:margin;z-index:251661312;mso-width-relative:page;mso-height-relative:page;" fillcolor="#FFFFFF [3212]" filled="t" stroked="t" coordsize="21600,21600" o:gfxdata="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8AhgS1wAAAAoB&#10;AAAPAAAAAAAAAAEAIAAAACIAAABkcnMvZG93bnJldi54bWxQSwECFAAUAAAACACHTuJAbokEjlUC&#10;AAC4BAAADgAAAAAAAAABACAAAAAm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21" w:firstLineChars="50"/>
                        <w:jc w:val="center"/>
                        <w:rPr>
                          <w:rFonts w:eastAsia="宋体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00B050"/>
                          <w:sz w:val="44"/>
                          <w:szCs w:val="44"/>
                        </w:rPr>
                        <w:t>阿里组织发展</w:t>
                      </w:r>
                      <w:r>
                        <w:rPr>
                          <w:rFonts w:hint="eastAsia" w:eastAsia="宋体"/>
                          <w:b/>
                          <w:bCs/>
                          <w:color w:val="00B050"/>
                          <w:sz w:val="44"/>
                          <w:szCs w:val="44"/>
                          <w:lang w:val="en-US" w:eastAsia="zh-CN"/>
                        </w:rPr>
                        <w:t>OD</w:t>
                      </w:r>
                      <w:r>
                        <w:rPr>
                          <w:rFonts w:hint="eastAsia" w:eastAsia="宋体"/>
                          <w:b/>
                          <w:bCs/>
                          <w:color w:val="00B050"/>
                          <w:sz w:val="44"/>
                          <w:szCs w:val="44"/>
                        </w:rPr>
                        <w:t>特训营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1133475</wp:posOffset>
                </wp:positionV>
                <wp:extent cx="7581900" cy="914400"/>
                <wp:effectExtent l="6350" t="6350" r="1651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914400"/>
                        </a:xfrm>
                        <a:prstGeom prst="rect">
                          <a:avLst/>
                        </a:prstGeom>
                        <a:solidFill>
                          <a:srgbClr val="2ABC8C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宋体" w:eastAsia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宋体" w:eastAsia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战略落地和人才发展双引擎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89.25pt;height:72pt;width:597pt;mso-position-horizontal-relative:page;z-index:251662336;v-text-anchor:middle;mso-width-relative:page;mso-height-relative:page;" fillcolor="#2ABC8C" filled="t" stroked="t" coordsize="21600,21600" o:gfxdata="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YgkK/ZAAAACQEAAA8A&#10;AAAAAAAAAQAgAAAAIgAAAGRycy9kb3ducmV2LnhtbFBLAQIUABQAAAAIAIdO4kBhZXjuiAIAAB0F&#10;AAAOAAAAAAAAAAEAIAAAACgBAABkcnMvZTJvRG9jLnhtbFBLBQYAAAAABgAGAFkBAAAi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宋体" w:eastAsia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宋体" w:eastAsia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战略落地和人才发展双引擎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7"/>
        <w:widowControl/>
        <w:spacing w:line="600" w:lineRule="auto"/>
        <w:ind w:left="420" w:firstLine="0" w:firstLineChars="0"/>
        <w:jc w:val="center"/>
        <w:rPr>
          <w:rStyle w:val="10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>
      <w:pPr>
        <w:pStyle w:val="17"/>
        <w:widowControl/>
        <w:spacing w:line="600" w:lineRule="auto"/>
        <w:ind w:left="420" w:firstLine="0" w:firstLineChars="0"/>
        <w:jc w:val="center"/>
        <w:rPr>
          <w:rStyle w:val="10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>
      <w:pPr>
        <w:pStyle w:val="17"/>
        <w:widowControl/>
        <w:spacing w:line="600" w:lineRule="auto"/>
        <w:ind w:left="420" w:firstLine="0" w:firstLineChars="0"/>
        <w:jc w:val="center"/>
        <w:rPr>
          <w:rStyle w:val="10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>
      <w:pPr>
        <w:spacing w:line="400" w:lineRule="exact"/>
        <w:rPr>
          <w:rFonts w:ascii="等线" w:hAnsi="等线" w:eastAsia="等线"/>
          <w:b/>
          <w:bCs/>
          <w:color w:val="2ABC8C"/>
          <w:sz w:val="36"/>
          <w:szCs w:val="36"/>
        </w:rPr>
      </w:pPr>
    </w:p>
    <w:p>
      <w:pPr>
        <w:spacing w:line="400" w:lineRule="exact"/>
        <w:rPr>
          <w:rFonts w:ascii="等线" w:hAnsi="等线" w:eastAsia="等线"/>
          <w:b/>
          <w:bCs/>
          <w:color w:val="2ABC8C"/>
          <w:sz w:val="36"/>
          <w:szCs w:val="36"/>
        </w:rPr>
      </w:pPr>
    </w:p>
    <w:p>
      <w:pPr>
        <w:spacing w:line="400" w:lineRule="exact"/>
        <w:rPr>
          <w:rFonts w:ascii="等线" w:hAnsi="等线" w:eastAsia="等线"/>
          <w:b/>
          <w:bCs/>
          <w:color w:val="2ABC8C"/>
          <w:sz w:val="36"/>
          <w:szCs w:val="36"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等线" w:hAnsi="等线" w:eastAsia="等线"/>
          <w:b/>
          <w:bCs/>
          <w:color w:val="2ABC8C"/>
          <w:sz w:val="36"/>
          <w:szCs w:val="36"/>
        </w:rPr>
        <w:t>【招生简章】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| 广州 上海 北京 深圳 循环开课</w:t>
      </w:r>
    </w:p>
    <w:p>
      <w:pPr>
        <w:rPr>
          <w:rFonts w:ascii="微软雅黑" w:hAnsi="微软雅黑" w:eastAsia="微软雅黑" w:cs="微软雅黑"/>
          <w:b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【课程立项背景】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1、组织是人的组织，组织发展OD是组织的骨骼，人才发展TD是组织的肌肉，两者相生相息、缺一不可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2、OD不应只是HR界的热门词，更应是企业管理者修炼的出发点和切入点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3、OD不应只是冰冷的定岗定编和架构设计，更应是有温度的洞察和能量场的激发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4、OD不应只是一套方法论，更应是、也必须是帮组织拿到业务结果的管理工具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5、组织发展的最终核心还是要回归人--选好人，用好人，培养人，激励人，借事修人、视人为人，当一个组织在人的身上注入心力，便可探寻未来、厘清过去</w:t>
      </w: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106045</wp:posOffset>
            </wp:positionV>
            <wp:extent cx="5273675" cy="2395855"/>
            <wp:effectExtent l="0" t="0" r="0" b="444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、</w:t>
      </w: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pStyle w:val="11"/>
        <w:spacing w:line="400" w:lineRule="exact"/>
        <w:ind w:left="530" w:firstLine="0" w:firstLineChars="0"/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【课程核心收益】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1、通过理论+实践+案例的多元教学形式，掌握组织规划、组织诊断、组织设计和落地执行的底层落地和实操方式，从理念导入实践，教会学员如何推动组织战略和架构设计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2、掌握组织画像和人才盘点的工具方法，结合胜任力模型、潜能评估、行动学习、教练辅导等工具，帮助学员学会设计完整的组织赋能体系，以支撑业绩目标达成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3、理解并掌握企业管理的核心逻辑—以组织战略执行和人才发展为抓手，在人才效能提升的过程中推动企业战略达成。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【课程学习特色】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1、理论打开认知天窗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2、案例拆解看清真相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3、工具实操现场演练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4、课程结束即可推动落地应用</w:t>
      </w:r>
    </w:p>
    <w:p>
      <w:pPr>
        <w:rPr>
          <w:rFonts w:ascii="微软雅黑" w:hAnsi="微软雅黑" w:eastAsia="微软雅黑" w:cs="微软雅黑"/>
          <w:sz w:val="22"/>
          <w:szCs w:val="21"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sz w:val="22"/>
          <w:szCs w:val="21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【建议学习对象】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企业各层级的业务管理者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在职/求职的HRBP、COE、OD、TD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培训和绩效的HR主管、HR经理、HR总监</w:t>
      </w:r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 w:cs="微软雅黑"/>
          <w:sz w:val="22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组织发展咨询和人才管理咨询专业顾问</w:t>
      </w:r>
    </w:p>
    <w:p>
      <w:pPr>
        <w:rPr>
          <w:rFonts w:ascii="微软雅黑" w:hAnsi="微软雅黑" w:eastAsia="微软雅黑" w:cs="微软雅黑"/>
          <w:sz w:val="22"/>
          <w:szCs w:val="21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【课程介绍】</w:t>
      </w:r>
    </w:p>
    <w:p>
      <w:pPr>
        <w:rPr>
          <w:rFonts w:ascii="微软雅黑" w:hAnsi="微软雅黑" w:eastAsia="微软雅黑" w:cs="微软雅黑"/>
          <w:b/>
          <w:sz w:val="28"/>
          <w:szCs w:val="21"/>
        </w:rPr>
      </w:pPr>
      <w:r>
        <w:rPr>
          <w:rFonts w:hint="eastAsia" w:ascii="微软雅黑" w:hAnsi="微软雅黑" w:eastAsia="微软雅黑" w:cs="微软雅黑"/>
          <w:b/>
          <w:sz w:val="28"/>
          <w:szCs w:val="21"/>
        </w:rPr>
        <w:t xml:space="preserve">Day1 </w:t>
      </w: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第一部分 组织探温：借助诊断工具洞察组织的本质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理念导入：智能商业时代下的人力资源新常态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厘清关系：组织架构设计的四种形态、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组织的本质：组织发展赋能企业价值的五层理论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重点理清：组织发展的五个核心阶段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OD到底都干啥？如何做业务听的懂的组织发展？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HR在公司中话语权不高，OD能否推的动？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成长的秘诀:组织成功的一个核心公式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组织发展OD、人才发展TD、学习发展LD的区别与联系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工具习得1：组织诊断工具之阿里的六个盒子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工具习得2：组织解码工具之华为的BLM模型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工具习得3：战略解码工具之组织能力的杨三角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三步轻松找到推动业务发展的“增强回路”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组织探温体验：晒KPI、共创、复盘、心灵过山车、人生盾牌等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第二部分 组织规划：像老板一样理解组织的经营之道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上层建筑：战略的上三路设计 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组织的起点：所有的组织都起源于三大价值的获取 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使命愿景：“虚妄之物”对创业期、中小企业到底有什么用？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价值观：到底如何考核落地？（阿里新六脉神剑案例 ）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商业地图：九大因素带你读懂商业设计的底层逻辑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设计了战略却无法促进落地该怎么办?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商业收益和获取：为股东创造最大利润价值的两种方式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为客户价值而战：识别三类核心客户需求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流程为王：实现四大核心流程的效率最大化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绩效考核设计：如何将公司目标精准分解到个人绩效KPI</w:t>
      </w:r>
    </w:p>
    <w:p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四轮驱动模型：轻松打造价值增量和人员成长的绩效管理体系（案例：阿里的绩效管理体系）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第三部分 组织设计：敏捷性职级确认及架构选择方式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从岗位到角色到活动：岗位设计的基本路径是什么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影响因子分析：岗位设计的三大驱动因素和六个核心原则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四步成诗：岗位设计的四个主要步骤和四个方法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定岗方式：多种岗位确认的方式和使用范围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定编原则：公司编制和部门编制不同的设计因素和原则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架构设计：组织架构设计的四种形态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组织架构的本质到底在解决哪两个问题？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工具选择：常见组织架构和流程设计的五种方式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扁平化的组织架构设计背后的原理是什么？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职能分析模型：流程优化下完成最优架构的选择</w:t>
      </w:r>
    </w:p>
    <w:p>
      <w:pPr>
        <w:pStyle w:val="11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敏捷组织打造：阿里巴巴小前台大中台架构模式你可以如何借鉴?</w:t>
      </w:r>
    </w:p>
    <w:p>
      <w:pPr>
        <w:rPr>
          <w:rFonts w:ascii="微软雅黑" w:hAnsi="微软雅黑" w:eastAsia="微软雅黑" w:cs="微软雅黑"/>
          <w:b/>
          <w:sz w:val="28"/>
          <w:szCs w:val="21"/>
        </w:rPr>
      </w:pPr>
    </w:p>
    <w:p>
      <w:pPr>
        <w:rPr>
          <w:rFonts w:ascii="微软雅黑" w:hAnsi="微软雅黑" w:eastAsia="微软雅黑" w:cs="微软雅黑"/>
          <w:b/>
          <w:sz w:val="28"/>
          <w:szCs w:val="21"/>
        </w:rPr>
      </w:pPr>
      <w:r>
        <w:rPr>
          <w:rFonts w:hint="eastAsia" w:ascii="微软雅黑" w:hAnsi="微软雅黑" w:eastAsia="微软雅黑" w:cs="微软雅黑"/>
          <w:b/>
          <w:sz w:val="28"/>
          <w:szCs w:val="21"/>
        </w:rPr>
        <w:t>Day2</w:t>
      </w: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第四部分  组织画像：胜任力模型构建及评鉴中心体系落地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追本溯源：组织中核心人才画像的四个阶段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FSIO项目：胜任力模型的底层逻辑基础和常见分类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完整胜任力模型构成的五个部分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胜任力模型如何支撑企业的战略落地及在人才管理中的价值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“四性两化“：怎样的模型是一个好的模型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胜任力模型构建的具体方法和构建流程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敏捷性建模实操之战略分析法（附赠企业战略与胜任力模型矩阵图）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敏捷式建模实操之文化演绎法（附赠企业文化演绎路径图）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敏捷式建模实操之绩优人员及高管访谈法（附赠胜任力模型词典、访谈提纲样例）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敏捷式建模实操之岗位角色分析、编码和模型输出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案例1：不要让模型变成一张纸，如何在全员进行宣贯和推广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案例2：一个案例复盘关键岗位的胜任力模型构建的全过程</w:t>
      </w:r>
    </w:p>
    <w:p>
      <w:pPr>
        <w:pStyle w:val="11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案例3：绩效考核、培训发展、干部管理中如何应用胜任力模型</w:t>
      </w:r>
    </w:p>
    <w:p>
      <w:pPr>
        <w:pStyle w:val="11"/>
        <w:spacing w:line="400" w:lineRule="exact"/>
        <w:ind w:left="420" w:firstLine="0" w:firstLineChars="0"/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第五部分  组织盘点：基于人才管理的企业人才盘点体系建设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人才盘点前的黄金圈法则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盘点数据分析到眼瞎？难怪你天天加班到11点，老板还是不满意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只知道九宫格？--如何选择真正有效的人才盘点的工具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案例1：360设计如何规避打分不公、都当老好人的问题？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人才盘点会到底要邀请哪些人参加？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成功召开人才盘点会的四个秘诀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案例2：别再只当主持人了，HR在人才盘点会上如何发挥价值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工具习得：九宫格的绘制方法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结果应用：九宫格中的“野狗”和“小白兔”到底淘汰谁？</w:t>
      </w:r>
    </w:p>
    <w:p>
      <w:pPr>
        <w:pStyle w:val="11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案例3：阿里人才盘点与后续人才梯队建设的落地应用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第六部分 组织赋能：高潜人才及梯队培养设计从案例到工具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梯队人才成长的“脚手架法则”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案例1：同样的业务培训，新员工和成熟员工的实践差异为何如此之大？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导师制：桃李满天下背后的成长之殇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教会徒弟饿死师傅：三个小技巧让你的导师制运转顺畅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基于通关制设计的管理者学习路径图设计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高潜人才培养的“三位一体”的核心设计逻辑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个人成长计划：不以绩效产出为导向的IDP都是耍流氓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翻转课堂：向培养要产出、向培训要效益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引导的力量：赋能工具之教练辅导技术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案例1：借事修人与借假修真：阿里管理三板斧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案例2：95后管理培训生培养项目方案设计</w:t>
      </w:r>
    </w:p>
    <w:p>
      <w:pPr>
        <w:pStyle w:val="11"/>
        <w:numPr>
          <w:ilvl w:val="0"/>
          <w:numId w:val="6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案例3：高潜管理人才培养项目方案设计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第七部分 组织激活：降低9095后新生代离职率的三大法宝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心理成本：你的员工为什么会离职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70后、80后员工：加薪，激励效果究竟能持续多长时间？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代际理论下的9095后群体特征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9095后的三大行为特征：不懂95后，如何做激励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案例分享：没有加班费，想让员工自愿996，如何做到?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点燃工作动力的两个激励因子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职业匹配：一个工具帮你识别员工离职风险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心灵扳机：阿里用这张图找到打动员工的真正因素</w:t>
      </w:r>
    </w:p>
    <w:p>
      <w:pPr>
        <w:pStyle w:val="11"/>
        <w:numPr>
          <w:ilvl w:val="0"/>
          <w:numId w:val="7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稻草性事件：阿里降低群体性离职事件发生的干预手段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Cs w:val="21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Cs w:val="21"/>
        </w:rPr>
      </w:pPr>
    </w:p>
    <w:p>
      <w:pPr>
        <w:spacing w:line="360" w:lineRule="auto"/>
        <w:jc w:val="both"/>
        <w:rPr>
          <w:rFonts w:ascii="微软雅黑" w:hAnsi="微软雅黑" w:eastAsia="微软雅黑" w:cs="微软雅黑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【讲师简介】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drawing>
          <wp:inline distT="0" distB="0" distL="114300" distR="114300">
            <wp:extent cx="1835785" cy="2751455"/>
            <wp:effectExtent l="0" t="0" r="8255" b="6985"/>
            <wp:docPr id="9" name="图片 9" descr="微信图片_2020103016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1030163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张老师</w:t>
      </w:r>
    </w:p>
    <w:p>
      <w:pPr>
        <w:spacing w:line="400" w:lineRule="exac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芝士汇创始人</w:t>
      </w:r>
    </w:p>
    <w:p>
      <w:pPr>
        <w:spacing w:line="400" w:lineRule="exac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前阿里巴巴集团组织发展专家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11"/>
        <w:numPr>
          <w:ilvl w:val="0"/>
          <w:numId w:val="8"/>
        </w:numPr>
        <w:spacing w:line="400" w:lineRule="exact"/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历任多家世界五百强HRBP、COE、人才发展专家，精通掌握六个盒子、心灵过山车、复盘、共创、三板斧等经典工具，熟悉企业实操场景，具有丰富的案例落地经验</w:t>
      </w:r>
    </w:p>
    <w:p>
      <w:pPr>
        <w:pStyle w:val="11"/>
        <w:numPr>
          <w:ilvl w:val="0"/>
          <w:numId w:val="8"/>
        </w:numPr>
        <w:spacing w:line="400" w:lineRule="exact"/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作为管理咨询专家参与通用汽车、中国银行、南方航空、浦发银行、中国电信、神华集团、欧尚超市、泸州老窖等企业校园招聘、内部竞聘、人才盘点、梯队搭建等项目，面试候选人超过8000+，为多家国内外知名企业提供组织诊断、胜任力建模、人才选拔、人才培养体系设计、领导力发展等方面的专业管理咨询建议</w:t>
      </w:r>
    </w:p>
    <w:p>
      <w:pPr>
        <w:pStyle w:val="11"/>
        <w:numPr>
          <w:ilvl w:val="0"/>
          <w:numId w:val="8"/>
        </w:numPr>
        <w:spacing w:line="400" w:lineRule="exact"/>
        <w:ind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多家著名培训机构签约讲师，授课风格轻松幽默，独创的心智输入和技能习得“双螺旋培养法”，课程体系化程度高、内容设计新颖，授课风格生动，注重培训现场学员互动体验，学员评分度和企业复购率 “双优讲师”。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D5C5D"/>
    <w:multiLevelType w:val="multilevel"/>
    <w:tmpl w:val="1D8D5C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CB55AC"/>
    <w:multiLevelType w:val="multilevel"/>
    <w:tmpl w:val="2ECB55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C63AD"/>
    <w:multiLevelType w:val="multilevel"/>
    <w:tmpl w:val="306C63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FF6584"/>
    <w:multiLevelType w:val="multilevel"/>
    <w:tmpl w:val="34FF65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70478"/>
    <w:multiLevelType w:val="multilevel"/>
    <w:tmpl w:val="56A7047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19353C"/>
    <w:multiLevelType w:val="multilevel"/>
    <w:tmpl w:val="5719353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5B1B2C"/>
    <w:multiLevelType w:val="multilevel"/>
    <w:tmpl w:val="5E5B1B2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787598"/>
    <w:multiLevelType w:val="multilevel"/>
    <w:tmpl w:val="6D7875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6D"/>
    <w:rsid w:val="00016B2F"/>
    <w:rsid w:val="00021808"/>
    <w:rsid w:val="00026A4C"/>
    <w:rsid w:val="000361EB"/>
    <w:rsid w:val="0006531C"/>
    <w:rsid w:val="00066AB3"/>
    <w:rsid w:val="000679CE"/>
    <w:rsid w:val="000B1868"/>
    <w:rsid w:val="000B6CD5"/>
    <w:rsid w:val="000E1CAC"/>
    <w:rsid w:val="000E2796"/>
    <w:rsid w:val="000E78E0"/>
    <w:rsid w:val="00105F14"/>
    <w:rsid w:val="00112CBA"/>
    <w:rsid w:val="00117FCB"/>
    <w:rsid w:val="00122395"/>
    <w:rsid w:val="00151163"/>
    <w:rsid w:val="0015616F"/>
    <w:rsid w:val="00172986"/>
    <w:rsid w:val="001A07A9"/>
    <w:rsid w:val="001A4C40"/>
    <w:rsid w:val="00233226"/>
    <w:rsid w:val="00244DF8"/>
    <w:rsid w:val="00245ED6"/>
    <w:rsid w:val="00265B0B"/>
    <w:rsid w:val="00273173"/>
    <w:rsid w:val="0028508A"/>
    <w:rsid w:val="00295CEB"/>
    <w:rsid w:val="002C3AEF"/>
    <w:rsid w:val="002D39F0"/>
    <w:rsid w:val="00344B4C"/>
    <w:rsid w:val="00362569"/>
    <w:rsid w:val="00382B4B"/>
    <w:rsid w:val="00387BD4"/>
    <w:rsid w:val="003912B4"/>
    <w:rsid w:val="00392CBD"/>
    <w:rsid w:val="00392CC6"/>
    <w:rsid w:val="003A698A"/>
    <w:rsid w:val="003D5847"/>
    <w:rsid w:val="003E5E7A"/>
    <w:rsid w:val="004168AD"/>
    <w:rsid w:val="004253BE"/>
    <w:rsid w:val="00463390"/>
    <w:rsid w:val="00470A7A"/>
    <w:rsid w:val="00491374"/>
    <w:rsid w:val="004A1C7A"/>
    <w:rsid w:val="004B7B10"/>
    <w:rsid w:val="004C02D0"/>
    <w:rsid w:val="004E594D"/>
    <w:rsid w:val="004E71C3"/>
    <w:rsid w:val="005117A2"/>
    <w:rsid w:val="00553938"/>
    <w:rsid w:val="00563098"/>
    <w:rsid w:val="00591F82"/>
    <w:rsid w:val="005C18AD"/>
    <w:rsid w:val="005C29DA"/>
    <w:rsid w:val="005D4CB1"/>
    <w:rsid w:val="00625BCB"/>
    <w:rsid w:val="0064405A"/>
    <w:rsid w:val="00645F3A"/>
    <w:rsid w:val="00695C5E"/>
    <w:rsid w:val="006A7500"/>
    <w:rsid w:val="006A79CC"/>
    <w:rsid w:val="006B740A"/>
    <w:rsid w:val="006D62B1"/>
    <w:rsid w:val="006F5102"/>
    <w:rsid w:val="00704DC6"/>
    <w:rsid w:val="007220F4"/>
    <w:rsid w:val="00731522"/>
    <w:rsid w:val="007337EC"/>
    <w:rsid w:val="0073483D"/>
    <w:rsid w:val="0073700F"/>
    <w:rsid w:val="00740E34"/>
    <w:rsid w:val="00757B6B"/>
    <w:rsid w:val="00762191"/>
    <w:rsid w:val="007A42DD"/>
    <w:rsid w:val="007B3B3C"/>
    <w:rsid w:val="007C7FB3"/>
    <w:rsid w:val="007D2242"/>
    <w:rsid w:val="007E1AD4"/>
    <w:rsid w:val="007E4530"/>
    <w:rsid w:val="007E6FDE"/>
    <w:rsid w:val="007F2DBC"/>
    <w:rsid w:val="0080673D"/>
    <w:rsid w:val="00837782"/>
    <w:rsid w:val="00852B6D"/>
    <w:rsid w:val="008760F4"/>
    <w:rsid w:val="00887020"/>
    <w:rsid w:val="009110E6"/>
    <w:rsid w:val="009206E5"/>
    <w:rsid w:val="0092254C"/>
    <w:rsid w:val="0093016A"/>
    <w:rsid w:val="00934E37"/>
    <w:rsid w:val="00953B5B"/>
    <w:rsid w:val="0095485C"/>
    <w:rsid w:val="00954F40"/>
    <w:rsid w:val="00972BB4"/>
    <w:rsid w:val="00991657"/>
    <w:rsid w:val="0099776A"/>
    <w:rsid w:val="009B31B0"/>
    <w:rsid w:val="009F077D"/>
    <w:rsid w:val="00A24C44"/>
    <w:rsid w:val="00A26A36"/>
    <w:rsid w:val="00A32317"/>
    <w:rsid w:val="00A32CED"/>
    <w:rsid w:val="00A33A7A"/>
    <w:rsid w:val="00A44C09"/>
    <w:rsid w:val="00A5662B"/>
    <w:rsid w:val="00A844E8"/>
    <w:rsid w:val="00A85B06"/>
    <w:rsid w:val="00A90AEB"/>
    <w:rsid w:val="00B073C5"/>
    <w:rsid w:val="00B13E76"/>
    <w:rsid w:val="00B36F47"/>
    <w:rsid w:val="00B508A0"/>
    <w:rsid w:val="00B544D8"/>
    <w:rsid w:val="00BD06B8"/>
    <w:rsid w:val="00BF07B9"/>
    <w:rsid w:val="00BF232A"/>
    <w:rsid w:val="00C01C72"/>
    <w:rsid w:val="00C177BC"/>
    <w:rsid w:val="00C40F64"/>
    <w:rsid w:val="00C73DE0"/>
    <w:rsid w:val="00C76DFF"/>
    <w:rsid w:val="00C83CC1"/>
    <w:rsid w:val="00C86939"/>
    <w:rsid w:val="00CD1166"/>
    <w:rsid w:val="00CD5921"/>
    <w:rsid w:val="00CD7664"/>
    <w:rsid w:val="00D04FE9"/>
    <w:rsid w:val="00D4121E"/>
    <w:rsid w:val="00D4575C"/>
    <w:rsid w:val="00D46AB3"/>
    <w:rsid w:val="00D738E8"/>
    <w:rsid w:val="00D8075E"/>
    <w:rsid w:val="00D85968"/>
    <w:rsid w:val="00DA15E0"/>
    <w:rsid w:val="00DA34CF"/>
    <w:rsid w:val="00DB20BB"/>
    <w:rsid w:val="00DC3DFC"/>
    <w:rsid w:val="00E105D3"/>
    <w:rsid w:val="00E37E8F"/>
    <w:rsid w:val="00E47ECF"/>
    <w:rsid w:val="00E660C6"/>
    <w:rsid w:val="00E73033"/>
    <w:rsid w:val="00EC6456"/>
    <w:rsid w:val="00F23255"/>
    <w:rsid w:val="00F61DB8"/>
    <w:rsid w:val="00F65AE3"/>
    <w:rsid w:val="00F84997"/>
    <w:rsid w:val="00FA0439"/>
    <w:rsid w:val="00FD0A25"/>
    <w:rsid w:val="00FD5979"/>
    <w:rsid w:val="00FD59F3"/>
    <w:rsid w:val="00FD5F2D"/>
    <w:rsid w:val="00FE6164"/>
    <w:rsid w:val="00FF6FBF"/>
    <w:rsid w:val="1A5E77ED"/>
    <w:rsid w:val="2CB326FE"/>
    <w:rsid w:val="3C1B68F1"/>
    <w:rsid w:val="3DD45E07"/>
    <w:rsid w:val="3E3E6C24"/>
    <w:rsid w:val="46922794"/>
    <w:rsid w:val="4A0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99"/>
    <w:rPr>
      <w:rFonts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uiPriority w:val="99"/>
    <w:rPr>
      <w:sz w:val="18"/>
      <w:szCs w:val="18"/>
    </w:rPr>
  </w:style>
  <w:style w:type="paragraph" w:customStyle="1" w:styleId="17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CA4CD-FF08-478A-AEE4-7A9A80A935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Wilmar.cn</Company>
  <Pages>6</Pages>
  <Words>452</Words>
  <Characters>2582</Characters>
  <Lines>21</Lines>
  <Paragraphs>6</Paragraphs>
  <TotalTime>1</TotalTime>
  <ScaleCrop>false</ScaleCrop>
  <LinksUpToDate>false</LinksUpToDate>
  <CharactersWithSpaces>3028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2019-09-20T12:46:00Z</dcterms:created>
  <dc:creator>jf</dc:creator>
  <cp:lastModifiedBy>章跃龙</cp:lastModifiedBy>
  <cp:lastPrinted>2020-06-18T01:51:00Z</cp:lastPrinted>
  <dcterms:modified xsi:type="dcterms:W3CDTF">2021-07-22T02:09:52Z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5BF08B600B314FBBAB46FF132975E74F</vt:lpwstr>
  </property>
</Properties>
</file>