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kern w:val="0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44"/>
          <w:szCs w:val="44"/>
          <w:lang w:val="en-US" w:eastAsia="zh-CN"/>
        </w:rPr>
        <w:t>《打破部门壁垒-跨部门沟通与协作训练班》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培训时间地点：</w:t>
      </w:r>
    </w:p>
    <w:tbl>
      <w:tblPr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876"/>
        <w:gridCol w:w="905"/>
        <w:gridCol w:w="955"/>
        <w:gridCol w:w="954"/>
        <w:gridCol w:w="981"/>
        <w:gridCol w:w="866"/>
        <w:gridCol w:w="922"/>
        <w:gridCol w:w="911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三月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四月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五月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六月</w:t>
            </w:r>
          </w:p>
        </w:tc>
        <w:tc>
          <w:tcPr>
            <w:tcW w:w="9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七月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八月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九月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十一月</w:t>
            </w:r>
          </w:p>
        </w:tc>
        <w:tc>
          <w:tcPr>
            <w:tcW w:w="9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AEEF3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18-19深圳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28-29上海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18-19深圳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29-30上海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28-29深圳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26-27上海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9-10深圳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27-28上海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23-24深圳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21-22上海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eastAsia="宋体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课程对象：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中高层管理者、后备干部、骨干员工等，工作中需要频繁进行跨部门沟通人员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培训费用：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4800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元/人（培训费用、资料费、茶歇、结业证书、税费等）</w:t>
      </w:r>
    </w:p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认证费用：凡希望参加认证考试之学员，在培训结束后参加认证考试并合格者，颁发与所参加培训课程专业领域相同之职业资格证书。(参加认证考试的学员须交纳此费用，不参加认证考试的学员无须交纳)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1283"/>
        <w:gridCol w:w="1385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证书类别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证书级别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</w:t>
            </w:r>
          </w:p>
        </w:tc>
        <w:tc>
          <w:tcPr>
            <w:tcW w:w="270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幼圆" w:hAnsi="幼圆" w:eastAsia="幼圆" w:cs="幼圆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04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1000元/人</w:t>
            </w:r>
          </w:p>
        </w:tc>
        <w:tc>
          <w:tcPr>
            <w:tcW w:w="2702" w:type="dxa"/>
            <w:vMerge w:val="restart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10个工作日内出证快递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4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HKTCC香港培训认证中心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高级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1200元/人</w:t>
            </w:r>
          </w:p>
        </w:tc>
        <w:tc>
          <w:tcPr>
            <w:tcW w:w="2702" w:type="dxa"/>
            <w:vMerge w:val="continue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042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中管院专业人才技能证书</w:t>
            </w:r>
          </w:p>
        </w:tc>
        <w:tc>
          <w:tcPr>
            <w:tcW w:w="1283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中、高级</w:t>
            </w:r>
          </w:p>
        </w:tc>
        <w:tc>
          <w:tcPr>
            <w:tcW w:w="1385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800元/人</w:t>
            </w:r>
          </w:p>
        </w:tc>
        <w:tc>
          <w:tcPr>
            <w:tcW w:w="2702" w:type="dxa"/>
          </w:tcPr>
          <w:p>
            <w:pPr>
              <w:pStyle w:val="2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7个工作日出出证快递</w:t>
            </w: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 w:val="0"/>
          <w:bCs w:val="0"/>
          <w:color w:val="FF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2"/>
          <w:szCs w:val="22"/>
          <w:lang w:val="en-US" w:eastAsia="zh-CN" w:bidi="ar-SA"/>
        </w:rPr>
        <w:t>以上课程可同步线上直播学习，也可更加贵司的培训需求做定制化内训服务！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val="en-US" w:eastAsia="zh-CN"/>
        </w:rPr>
        <w:t>课程收获：</w:t>
      </w:r>
    </w:p>
    <w:p>
      <w:pPr>
        <w:pStyle w:val="13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认识跨部门合作的常见障碍与挑战，正确看待跨部门合作过程中的冲突</w:t>
      </w:r>
    </w:p>
    <w:p>
      <w:pPr>
        <w:pStyle w:val="13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了解达成跨部门合作关系的三种策略</w:t>
      </w:r>
    </w:p>
    <w:p>
      <w:pPr>
        <w:pStyle w:val="13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建立跨部门日常运作机制，建设和运用跨部门影响力</w:t>
      </w:r>
    </w:p>
    <w:p>
      <w:pPr>
        <w:pStyle w:val="13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掌握跨部门协商的步骤、技巧和重要原则</w:t>
      </w:r>
    </w:p>
    <w:p>
      <w:pPr>
        <w:pStyle w:val="13"/>
        <w:numPr>
          <w:ilvl w:val="0"/>
          <w:numId w:val="1"/>
        </w:numPr>
        <w:ind w:leftChars="0"/>
        <w:jc w:val="both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  <w:lang w:val="en-US" w:eastAsia="zh-CN" w:bidi="ar-SA"/>
        </w:rPr>
        <w:t>掌握关键原则，达成真正的跨部门双赢合作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课程亮点：</w:t>
      </w:r>
    </w:p>
    <w:p>
      <w:pPr>
        <w:pStyle w:val="13"/>
        <w:numPr>
          <w:numId w:val="0"/>
        </w:numPr>
        <w:spacing w:line="276" w:lineRule="auto"/>
        <w:ind w:leftChars="0"/>
        <w:rPr>
          <w:rFonts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1.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组织成功的两要素</w:t>
      </w:r>
    </w:p>
    <w:p>
      <w:pPr>
        <w:pStyle w:val="13"/>
        <w:spacing w:line="276" w:lineRule="auto"/>
        <w:ind w:firstLine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drawing>
          <wp:inline distT="0" distB="0" distL="114300" distR="114300">
            <wp:extent cx="3217545" cy="2543175"/>
            <wp:effectExtent l="0" t="0" r="1905" b="9525"/>
            <wp:docPr id="5" name="图片 2" descr="组织成功二要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组织成功二要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numId w:val="0"/>
        </w:numPr>
        <w:spacing w:line="276" w:lineRule="auto"/>
        <w:ind w:leftChars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2.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基于</w:t>
      </w:r>
      <w:r>
        <w:rPr>
          <w:rFonts w:hint="eastAsia" w:ascii="微软雅黑" w:hAnsi="微软雅黑" w:eastAsia="微软雅黑"/>
          <w:b w:val="0"/>
          <w:bCs w:val="0"/>
          <w:color w:val="C00000"/>
          <w:sz w:val="20"/>
          <w:szCs w:val="20"/>
        </w:rPr>
        <w:t>“冰山模型”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理论作为课程整体脉络，清晰跨部门合作最重要的切入点</w:t>
      </w:r>
    </w:p>
    <w:p>
      <w:pPr>
        <w:pStyle w:val="13"/>
        <w:spacing w:line="360" w:lineRule="auto"/>
        <w:rPr>
          <w:rFonts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drawing>
          <wp:inline distT="0" distB="0" distL="114300" distR="114300">
            <wp:extent cx="2256155" cy="1537970"/>
            <wp:effectExtent l="0" t="0" r="10795" b="5080"/>
            <wp:docPr id="6" name="图片 3" descr="冰山模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冰山模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numId w:val="0"/>
        </w:numPr>
        <w:spacing w:line="360" w:lineRule="auto"/>
        <w:ind w:leftChars="0"/>
        <w:rPr>
          <w:rFonts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3.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跨部门合作的四种可能结果</w:t>
      </w:r>
    </w:p>
    <w:p>
      <w:pPr>
        <w:pStyle w:val="13"/>
        <w:spacing w:line="360" w:lineRule="auto"/>
        <w:ind w:left="420" w:firstLine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ascii="微软雅黑" w:hAnsi="微软雅黑" w:eastAsia="微软雅黑"/>
          <w:b w:val="0"/>
          <w:bCs w:val="0"/>
          <w:sz w:val="20"/>
          <w:szCs w:val="20"/>
        </w:rPr>
        <w:drawing>
          <wp:inline distT="0" distB="0" distL="114300" distR="114300">
            <wp:extent cx="3692525" cy="1661160"/>
            <wp:effectExtent l="0" t="0" r="3175" b="15240"/>
            <wp:docPr id="7" name="图片 4" descr="跨部门合作的四种形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跨部门合作的四种形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252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ind w:leftChars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4.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运用TK模型不同处理冲突的方式，并结合案例以提升双赢合作的成效</w:t>
      </w:r>
    </w:p>
    <w:p>
      <w:pPr>
        <w:pStyle w:val="13"/>
        <w:spacing w:line="360" w:lineRule="auto"/>
        <w:ind w:firstLine="0"/>
        <w:rPr>
          <w:rFonts w:hint="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drawing>
          <wp:inline distT="0" distB="0" distL="114300" distR="114300">
            <wp:extent cx="3235325" cy="1986915"/>
            <wp:effectExtent l="0" t="0" r="3175" b="13335"/>
            <wp:docPr id="2" name="图片 5" descr="T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TK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numId w:val="0"/>
        </w:numPr>
        <w:spacing w:line="360" w:lineRule="auto"/>
        <w:ind w:leftChars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5.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运用</w:t>
      </w:r>
      <w:r>
        <w:rPr>
          <w:rFonts w:hint="eastAsia" w:ascii="微软雅黑" w:hAnsi="微软雅黑" w:eastAsia="微软雅黑"/>
          <w:b w:val="0"/>
          <w:bCs w:val="0"/>
          <w:color w:val="C00000"/>
          <w:sz w:val="20"/>
          <w:szCs w:val="20"/>
        </w:rPr>
        <w:t>“沟通对话三大技巧”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以全方位的提升沟通能力</w:t>
      </w:r>
    </w:p>
    <w:p>
      <w:pPr>
        <w:pStyle w:val="13"/>
        <w:spacing w:line="360" w:lineRule="auto"/>
        <w:ind w:firstLine="0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drawing>
          <wp:inline distT="0" distB="0" distL="114300" distR="114300">
            <wp:extent cx="2471420" cy="1553210"/>
            <wp:effectExtent l="0" t="0" r="5080" b="8890"/>
            <wp:docPr id="3" name="图片 6" descr="沟通技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沟通技巧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numId w:val="0"/>
        </w:numPr>
        <w:spacing w:line="360" w:lineRule="auto"/>
        <w:jc w:val="left"/>
        <w:rPr>
          <w:rFonts w:hint="eastAsia"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  <w:lang w:val="en-US" w:eastAsia="zh-CN"/>
        </w:rPr>
        <w:t>6.</w:t>
      </w: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t>建立部门沟通的机制---横向问题联络书</w:t>
      </w:r>
    </w:p>
    <w:p>
      <w:pPr>
        <w:pStyle w:val="13"/>
        <w:spacing w:line="360" w:lineRule="auto"/>
        <w:ind w:firstLine="0"/>
        <w:rPr>
          <w:rFonts w:ascii="微软雅黑" w:hAnsi="微软雅黑" w:eastAsia="微软雅黑"/>
          <w:b w:val="0"/>
          <w:bCs w:val="0"/>
          <w:sz w:val="20"/>
          <w:szCs w:val="20"/>
        </w:rPr>
      </w:pPr>
      <w:r>
        <w:rPr>
          <w:rFonts w:hint="eastAsia" w:ascii="微软雅黑" w:hAnsi="微软雅黑" w:eastAsia="微软雅黑"/>
          <w:b w:val="0"/>
          <w:bCs w:val="0"/>
          <w:sz w:val="20"/>
          <w:szCs w:val="20"/>
        </w:rPr>
        <w:drawing>
          <wp:inline distT="0" distB="0" distL="114300" distR="114300">
            <wp:extent cx="2632710" cy="1504950"/>
            <wp:effectExtent l="0" t="0" r="15240" b="0"/>
            <wp:docPr id="4" name="图片 7" descr="横向问题联络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横向问题联络书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课程大纲：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第一章：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跨部门合作为何会出现问题？ 1.组织成功的两因素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聪明---战略、营销、财务、制造、技术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健康---最少的办公室政治、最少的混乱、高涨的士气、高效率、优秀员工的低流失率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2.跨部门合作的难点在哪里？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3. 跨部门合作的目的与挑战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人际关系导向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任务绩效导向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4. 什么原因导致跨部门合作的困难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非合作性行为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合作性行为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5．跨部门合作十大解决方案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凝聚共识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有效沟通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明确职责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规范流程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遵守承诺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换位思考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冲突管理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绩效分享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责任共担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流程再造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6. 案例：这件事要解决怎么这么难？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第二章：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跨部门合作之双赢合作 1.跨部门合作可能的四种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2.建立信任---一种可以改变一切的力量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你对今天的“信任环境”满意吗？---英国行为学家的调查数据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TCRIS公式---信任度、可信性、亲密度、自我导向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测试“你的可被信任指数”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教学视频：建立信任的过程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3.冲突处理的角色演练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4.冲突管理的TK模型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5.冲突管理的步骤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营造有效的氛围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建立相互理解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找到共同点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找出根本原因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生成选项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确立解决方案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6.案例讨论及情景演练：我们身旁的困惑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第三章：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跨部门合作之沟通协商 1. 了解相互的沟通风格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自我测试：人际沟通风格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小组讨论：我眼中的自己与别人眼中法自己差别多大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不同沟通风格的特点与沟通技巧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2. 有效沟通的 3V 组合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Visual：肢体语言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Vocal： 声调语气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Verbal：用字遣词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3. 我们能明确清晰表达吗？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容易激怒对方的表达方法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练习：如何改善与同事的表达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4. 我们会用心倾听吗？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影响我们倾听的因素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倾听的3F模型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角色演练：高效的倾听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5.对话的风格模式：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 xml:space="preserve">体恤型、探索型、评论型、建议型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练习：对话的风格模式判断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对话回应情景练习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第四章：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跨部门合作之影响力 1、 影响力就是那种带你去你不会独自造访的地方的力量！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2、 影响力需要进行分类——职权影响力与非职权影响力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3、 影响力的不同反应——我们的判断要准确，不要把敷衍当成承诺！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4、如何与不同利益攸关方进行的接触：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经济型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操作型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技术型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顾问型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5、影响他人的筹码：对方需要（或畏惧），而我拥有的（资源）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奖酬、诱因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职权、政策、规章、第三方权威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威慑力、握有资源/把柄、气势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关系、交情、人际技巧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第五章：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跨部门合作之建立机制 1. 优化横向沟通表单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2. 探究问题本元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3. 案例：招聘专员的苦恼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F3F3F"/>
          <w:kern w:val="0"/>
          <w:sz w:val="24"/>
          <w:szCs w:val="24"/>
        </w:rPr>
        <w:t>4. 案例：出口零配件的问题沟通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lang w:val="en-US" w:eastAsia="zh-CN" w:bidi="ar-SA"/>
        </w:rPr>
        <w:t>讲师简介：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韦老师---资深领导力与全能沟通培训导师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曾在复星国际、世界500强公司担任过总裁助理、销售总监、运营副总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宝马中国、上汽集团、招商银行、平安集团、中国银行、中国银联常年领导力导师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清华大学、上海交大、复旦大学、浙江大学等高校MBA及高管班---特聘培训导师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英国SP优势国际测评、教练辅导、人才培养项目设计受训导师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上海STA培训协会—理事、专家委员会委员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标杆客户（部分多次重复采购客户）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上汽集团，宝马中国，沃尔沃汽车，卡特彼勒，利星行，舍弗勒，采埃孚，博世电子，宝武集团，日立电梯，徐工集团，中国中车，塞拉尼斯，德力西，上海电气，三菱自动化，华谊集团，施耐德，华润集团， 西门子，康佳半导体，卫材制药、罗氏诊断，华侨城，工商银行，建设银行，中国银行，农业银行，招商银行，交通银行，南京银行，浦发银行，花旗银行，华侨永亨，光大银行，邮储银行，兴业银行，平安银行，平安人寿，平安租赁，华泰人寿，宁波银行，银河期货，申万宏源，申银万国期货，万科集团，绿地集团，绿城集团，新城控股，融创中国，链家，中交集团，中建三局，腾讯中国，中国移动，中国电信，中国网通，中国铁塔、诺基亚贝尔，华东电网，南方电网，华东空管局，海航集团，易居控股，中国烟草，中远集团，上港集团，欧尚中国，智联招聘，阿迪达斯，光明集团，伊利集团，美国上海商会，清华大学，复旦大学、上海交大，浙江大学….</w:t>
      </w:r>
    </w:p>
    <w:bookmarkEnd w:id="0"/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</w:p>
    <w:p>
      <w:pPr>
        <w:pStyle w:val="2"/>
        <w:jc w:val="left"/>
        <w:rPr>
          <w:rFonts w:hint="default" w:asciiTheme="minorEastAsia" w:hAnsiTheme="minorEastAsia" w:eastAsiaTheme="minorEastAsia" w:cstheme="minorEastAsia"/>
          <w:b/>
          <w:bCs/>
          <w:color w:val="0070C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left="840" w:right="840" w:rightChars="400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0F535"/>
    <w:multiLevelType w:val="singleLevel"/>
    <w:tmpl w:val="34A0F5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00000000"/>
    <w:rsid w:val="0AA4559D"/>
    <w:rsid w:val="12F75385"/>
    <w:rsid w:val="13174155"/>
    <w:rsid w:val="17585E3F"/>
    <w:rsid w:val="178929CA"/>
    <w:rsid w:val="1BBD6EBC"/>
    <w:rsid w:val="221B274B"/>
    <w:rsid w:val="28573B25"/>
    <w:rsid w:val="37994CBC"/>
    <w:rsid w:val="50D571DB"/>
    <w:rsid w:val="56C375C9"/>
    <w:rsid w:val="59E95710"/>
    <w:rsid w:val="5E501598"/>
    <w:rsid w:val="5FCA4037"/>
    <w:rsid w:val="66951F07"/>
    <w:rsid w:val="676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paragraph" w:customStyle="1" w:styleId="13">
    <w:name w:val="正文说明文字"/>
    <w:basedOn w:val="1"/>
    <w:qFormat/>
    <w:uiPriority w:val="0"/>
    <w:pPr>
      <w:spacing w:line="312" w:lineRule="auto"/>
      <w:ind w:firstLine="420"/>
    </w:pPr>
    <w:rPr>
      <w:rFonts w:ascii="华文细黑" w:hAnsi="华文细黑" w:eastAsia="华文细黑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2259</Words>
  <Characters>2377</Characters>
  <Lines>0</Lines>
  <Paragraphs>0</Paragraphs>
  <TotalTime>2</TotalTime>
  <ScaleCrop>false</ScaleCrop>
  <LinksUpToDate>false</LinksUpToDate>
  <CharactersWithSpaces>2469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2022-10-21T08:43:00Z</dcterms:created>
  <dc:creator>Administrator</dc:creator>
  <cp:lastModifiedBy>企赢彭老师（渠道）18820199517</cp:lastModifiedBy>
  <dcterms:modified xsi:type="dcterms:W3CDTF">2022-11-12T09:08:12Z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F49DC766BB1740B48F5942E4AD99BB73</vt:lpwstr>
  </property>
</Properties>
</file>