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44"/>
          <w:szCs w:val="44"/>
          <w:lang w:val="en-US" w:eastAsia="zh-CN"/>
        </w:rPr>
        <w:t>《金牌面试官---精准招聘与结构化面试》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5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22"/>
        <w:gridCol w:w="815"/>
        <w:gridCol w:w="793"/>
        <w:gridCol w:w="855"/>
        <w:gridCol w:w="757"/>
        <w:gridCol w:w="855"/>
        <w:gridCol w:w="880"/>
        <w:gridCol w:w="955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9-10深圳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21-22深圳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27-28深圳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17-18深圳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28-29深圳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19-20深圳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24-25深圳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15-16深圳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企业董事长、（副）总经理、企业高管、人力资源招聘经理、招聘专员，主管/各部门高级主管/经理及涉及到招聘与面试相关人员等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4600元/人（培训费用、资料费、茶歇、结业证书、税费等）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认证费用：凡希望参加认证考试之学员，在培训结束后参加认证考试并合格者，颁发与所参加培训课程专业领域相同之职业资格证书。(参加认证考试的学员须交纳此费用，不参加认证考试的学员无须交纳)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</w:t>
            </w:r>
          </w:p>
        </w:tc>
        <w:tc>
          <w:tcPr>
            <w:tcW w:w="27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  <w:t>以上课程可同步线上直播学习，也可更加贵司的培训需求做定制化内训服务！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课程背景：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近年来，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随着人力短缺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时代的来临，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招聘人员常常为招聘无法满足企业生产经营需要而头痛不已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，特别是需要应聘者长期在工地上艰苦工作的行业，招聘面临极大的困难。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其实招聘效果不彰，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除了企业人力资源招聘体系基础建设不足，招聘团队实力有待加强之外，还有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如下几个方面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的原因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：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对本行业招聘形势不了解；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招聘渠道拓展不足；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没有清晰的招聘思路；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没有掌握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新时代年轻人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的特点；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没能制定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好的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的招聘计划；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选拔的人员标准模糊不清；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招聘官面试选拔的技巧技能不足……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归根结底这些问题，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主要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招聘管理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人员的经验和技能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技巧有待加强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，导致招聘效果出现问题。</w:t>
      </w:r>
    </w:p>
    <w:p>
      <w:pPr>
        <w:spacing w:line="360" w:lineRule="auto"/>
        <w:ind w:firstLine="43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因此，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加强招聘团队，提升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人员招聘技能，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对提升招聘工作效率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显得尤其重要。本课程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帮助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学员掌握招聘体系建设的技巧和方法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，迅速强化提高招聘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及员工管理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的技能技巧，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帮助解决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企业经营发展后顾之忧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课程特色：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课堂讲授+案例分析+小组讨论+情景演练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，突出实战性与实用性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课程收益：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帮助学员掌握掌握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方法，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拓展招聘渠道，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提升企业招聘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帮助学员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掌握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招聘人才标准的建立，掌握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应聘者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简历分析与初步筛选的技巧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帮助学员掌握招聘面试的观察、倾听、提问、综合判断的方法与技术，提升人才招聘选拔的有效性，打造企业人才竞争的未来优势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帮助学员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特别要掌握冰山素质模型、</w:t>
      </w:r>
      <w:r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eastAsia="zh-CN"/>
        </w:rPr>
        <w:t>STAR</w:t>
      </w:r>
      <w:r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val="en-US" w:eastAsia="zh-CN"/>
        </w:rPr>
        <w:t>法则等招聘面试工具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val="en-US" w:eastAsia="zh-CN"/>
        </w:rPr>
        <w:t>5、工作坊训练，强化招聘人员工作能力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第一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  <w:t>部分企业招聘体系的正确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  <w:t>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招聘模块在企业管理中的定义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二、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企业的招聘趋势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企业需要什么样的员工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现代年轻人的需求是什么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马斯洛需求方法分析年轻应聘者需求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实例分析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招聘对比：差距在哪里？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与应聘者吵起来的副总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要不要聘用他？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影响招聘的企业内部因素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企业需要什么样的员工？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、招聘的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两大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内涵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人员素质的构成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某公司2019年管理岗位人员需求统计表 （2）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马云求职记 （3）公司需要什么的人员？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第二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  <w:t>部分企业招聘体系的搭建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一、确定招聘岗位的职责与要求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、员工胜任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的4大要素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企业招聘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战略视角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、低成本战略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、差异化战略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、多元化战略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四、胜任力素质模型建设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1、胜任力的五个层次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2、常见的能力素质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3、能力指标的四个结构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4、胜任力素质模型构建基本流程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5、能力素质模型构建简易4步法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6、按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胜任素质模型六个维度设计面试题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岗位说明书编写7因素法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（2）胜任力模型招聘工具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某企业选材标准  （2）招聘高端客户专职司机认识胜任力模型 （3）能力指标案例  （4）能力素质模型案例  （5）某企业的能力素质词典库  （6）洽洽食品的选才标准  （7）某公司销售人员资质库盘点定位  （8）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《流浪地球》作者刘慈欣求职记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现场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演练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如何运用胜任力素质模型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分析每项工作职责所需胜任力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计划和策划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、招聘计划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的七个方面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2、招聘团队的组建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招聘预算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招聘规模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吸引人才的手段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组织宣传手段的详细说明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招聘常用计划模板表单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（2）招聘录用金字塔模型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）某企业的招聘录用比例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（2）招聘面试官团队构成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寻找公司的竞争优势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  <w:t>第三部分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eastAsia="zh-CN"/>
        </w:rPr>
        <w:t>企业招聘体系实战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一、招聘渠道选择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人才招聘会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广告媒体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职业介绍所或就业服务中心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猎头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合作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员工推荐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招聘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100个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专业招聘网络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电视选秀招聘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社交网络招聘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社交招聘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人事外包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二、招聘广告的方案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1、广告撰写依据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2、招聘广告内容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3、应注意的法律问题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、发布招聘信息常见错误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）中国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HR常用十类一百个招聘网站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招聘广告的AIDA原则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）招聘渠道对比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招聘广告创新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（3）麦当劳的动感招聘广告  （4）两则招聘广告对比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）该采用何种招聘渠道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）招聘广告编写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  <w:t>招聘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宣讲实战技巧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招聘宣讲的六个关键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）如何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</w:rPr>
        <w:t>做好宣讲会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/>
        </w:rPr>
        <w:t>前的宣传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）选择合适的招聘时机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）精心设计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宣讲会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和物料准备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精心准备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各种形式的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面试试题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宣讲会的现场控制和意外应对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对招聘团队进行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五个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考核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、如何使用高效率的四步招聘法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、群面的逻辑及技巧方法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无领导小组讨论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对抗式无领导小组讨论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团队游戏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面试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角色扮演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面试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视频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案例：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无领导小组讨论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发布招聘信息模板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宣讲会议程及物料准备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实用工具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群面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评价工具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eastAsia="zh-CN"/>
        </w:rPr>
        <w:t>四、应聘者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简历分析与筛选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、简历搜索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四大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、查看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四个方面的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客观内容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、查看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三个方面的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主观内容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、审核简历匹配度及逻辑性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、简历的整体印象及薪资期望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、简历筛选三大要点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简历分析与筛选工作表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名企简历筛选标准列举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阅读简历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记录和标注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（2）两份HR经理简历对比 （3）简历两轮筛选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简历的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快速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搜索与筛选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五、面试选拔实战技巧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面试选拔的七种方式对比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、面试的十一项内容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面试类别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、面试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的三个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方式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5、面试前的四项准备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6、面试过程的五个环节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7、面试六个评估技巧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8、面试如何识别真伪的七种情况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9、面试过程七种误差及控制方法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）面试评价表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（2）面试自检表 （3）无领导小组讨论实施流程 （4）行为事件面试法  （5）结构化行为面试  （6）STAR面试 （7）面试评价表  （8）解读应聘者身体语言 （9）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面试评价表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为何要手工填写求职申请表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（2）三种面试位置 （3）为何见面发现与电话里的人不一样   （4）无领导小组讨论视频  （5）某企业结构化面试  （6）结构化行为面试提纲  （7）某公司人力资源经理试题  （8）基于STAR的面试案例  （9）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如何问出真假？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（10）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结构化面试题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库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某甲的面试遭遇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某乙的经历 （3）如何面试某施工员 （4）如何招聘具备快速装配能力的女工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招来的高素质人才为何是不适合的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napToGrid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六、如何录用合适人选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背景调查的七项工作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、影响录用决策的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因素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录用决策的四个比较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应用工具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背景调查表 （2）录用评估表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案例分析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谁是最合适的人选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实战练习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如何录用合适人选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杨老师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高端讲师/咨询师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13年大型上市公司行政总监、常务副总经理经历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中山大学EMBA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PTT国际职业培训师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注册管理咨询师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公文写作领域培训咨询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教育及工作背景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华中师范大学中文系本科毕业，中山大学EMBA，PTT国际职业培训师，注册管理咨询师，网络作家，著有超过五百万字的网络作品。14多年大型上市公司工作经历，13年HR总监、常务副总经理。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二十多年世界500强企业、大型上市公司、高科技制造企业、大型建筑企业、零售龙头企业管理实战经验，13年人力资源总监/常务副总经理（高管）工作经验，在企业行政管理方面有扎实的理论基础和丰富实战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专注于人力资源管理和企业行政管理，对企业公文写作非常熟悉，擅长企业管理诊断与案例教学。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服务客户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电力、能源：国网浙江紧水滩水电厂、国电投通辽发电总厂有限责任公司、华能集团（呼伦贝尔）、神华晋江天然气发电、国网新源控股、深圳能源集团、虎门沙角B电厂、华润电力集团、广深沙角电力集团、福建能源集团、国网广州电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公共交通：三亚市公交集团、陵水公共交通有限公司、三亚盛捷运输管理有限公司、三亚天涯行城市通卡科技有限公司 、中国交通建设股份有限公司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建筑、房地产、建材：雅居乐集团、深圳宇宏集团、承翰集团、中交四航局、建业集团、广胜达集团、景华地产、前海胜德建筑科技、武汉城投、华建施设备租赁有限公、无锡金茂、深圳深宇集团、广东奔朗新材料股份、广东科达洁能集团、大自然家居、华润水泥、广成劳务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投资金融：招商局集团、华润集团、沈阳农业银行、深圳市深福保（集团）、百锐集团、广东唐氏集团、工银安盛人寿保险、中国太平洋财产保险、长城人寿保险、中国人寿再保险、富德保险控股、中国人民健康保险、太平人寿保险、中荷人寿保险、众诚汽车保险、阳光人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汽车摩托车及零配件：深圳市沃特玛科技集团、迪马工业集团、达航工业有限公司、华泰铝轮毂集团、广州华南工业集团、光南光阳摩托公司、华天贸易有限公司、雅马哈摩托车公司、新大地汽车、大昌汽车贸易、飞鹰摩托车、飞狐摩托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超市零售：广东零售连锁嘉荣集团、广东国际SPAR连锁集团、美宜佳连锁、哥顿蛋糕连锁、永兴铝材连锁、东莞时尚电器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电子设备：深圳市科宇电源科技、三诺集团、爱克莱特科技股份集团、华茂五金电子集团、东莞迈特通讯科技集团、东莞迈特通讯科技集团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通信行业：阳江移动、东莞联通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印刷业：香港勤达彩印集团、喜运来印刷有限公司、诺德加印刷有限公司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化工制药：广东甘化集团、广东江门制药厂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劳动密集制造业：宝利树集团、深圳森源酒店家具集团、保利文有限公司、宝吉有限公司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pStyle w:val="2"/>
        <w:jc w:val="left"/>
        <w:rPr>
          <w:rFonts w:hint="default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BA40F"/>
    <w:multiLevelType w:val="singleLevel"/>
    <w:tmpl w:val="A39BA40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8011A0"/>
    <w:multiLevelType w:val="singleLevel"/>
    <w:tmpl w:val="F78011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0AA4559D"/>
    <w:rsid w:val="12F75385"/>
    <w:rsid w:val="13174155"/>
    <w:rsid w:val="171413EB"/>
    <w:rsid w:val="17585E3F"/>
    <w:rsid w:val="178929CA"/>
    <w:rsid w:val="1BBD6EBC"/>
    <w:rsid w:val="28573B25"/>
    <w:rsid w:val="34923C15"/>
    <w:rsid w:val="37994CBC"/>
    <w:rsid w:val="50D571DB"/>
    <w:rsid w:val="56C375C9"/>
    <w:rsid w:val="59E95710"/>
    <w:rsid w:val="5E501598"/>
    <w:rsid w:val="5FCA4037"/>
    <w:rsid w:val="62F45ACB"/>
    <w:rsid w:val="676C4D9F"/>
    <w:rsid w:val="688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List Paragraph"/>
    <w:basedOn w:val="1"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3852</Words>
  <Characters>3949</Characters>
  <Lines>0</Lines>
  <Paragraphs>0</Paragraphs>
  <TotalTime>2</TotalTime>
  <ScaleCrop>false</ScaleCrop>
  <LinksUpToDate>false</LinksUpToDate>
  <CharactersWithSpaces>4096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企赢彭老师（渠道）18820199517</cp:lastModifiedBy>
  <dcterms:modified xsi:type="dcterms:W3CDTF">2022-11-14T04:27:54Z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F49DC766BB1740B48F5942E4AD99BB73</vt:lpwstr>
  </property>
</Properties>
</file>