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Theme="majorEastAsia" w:hAnsiTheme="majorEastAsia" w:eastAsiaTheme="majorEastAsia" w:cstheme="majorEastAsia"/>
          <w:b/>
          <w:kern w:val="0"/>
          <w:sz w:val="24"/>
          <w:szCs w:val="24"/>
          <w:lang w:val="en-US" w:eastAsia="zh-CN"/>
        </w:rPr>
      </w:pPr>
      <w:r>
        <w:rPr>
          <w:rFonts w:hint="eastAsia" w:asciiTheme="majorEastAsia" w:hAnsiTheme="majorEastAsia" w:eastAsiaTheme="majorEastAsia" w:cstheme="majorEastAsia"/>
          <w:b/>
          <w:kern w:val="0"/>
          <w:sz w:val="24"/>
          <w:szCs w:val="24"/>
          <w:lang w:val="en-US" w:eastAsia="zh-CN"/>
        </w:rPr>
        <w:t>《如何开发大客户---销售策略与技巧提升班》</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bCs/>
          <w:color w:val="0070C0"/>
          <w:kern w:val="0"/>
          <w:sz w:val="24"/>
          <w:szCs w:val="24"/>
          <w:lang w:val="en-US" w:eastAsia="zh-CN" w:bidi="ar-SA"/>
        </w:rPr>
      </w:pPr>
      <w:r>
        <w:rPr>
          <w:rFonts w:hint="eastAsia" w:ascii="宋体" w:hAnsi="宋体" w:eastAsia="宋体" w:cs="宋体"/>
          <w:b/>
          <w:bCs/>
          <w:color w:val="0070C0"/>
          <w:kern w:val="0"/>
          <w:sz w:val="24"/>
          <w:szCs w:val="24"/>
          <w:lang w:val="en-US" w:eastAsia="zh-CN" w:bidi="ar-SA"/>
        </w:rPr>
        <w:t>培训时间地点：</w:t>
      </w:r>
    </w:p>
    <w:tbl>
      <w:tblPr>
        <w:tblW w:w="869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870"/>
        <w:gridCol w:w="870"/>
        <w:gridCol w:w="870"/>
        <w:gridCol w:w="834"/>
        <w:gridCol w:w="905"/>
        <w:gridCol w:w="870"/>
        <w:gridCol w:w="870"/>
        <w:gridCol w:w="870"/>
        <w:gridCol w:w="870"/>
        <w:gridCol w:w="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94" w:hRule="atLeast"/>
        </w:trPr>
        <w:tc>
          <w:tcPr>
            <w:tcW w:w="870" w:type="dxa"/>
            <w:tcBorders>
              <w:top w:val="single" w:color="000000" w:sz="8" w:space="0"/>
              <w:left w:val="single" w:color="000000" w:sz="4" w:space="0"/>
              <w:bottom w:val="single" w:color="000000" w:sz="4" w:space="0"/>
              <w:right w:val="single" w:color="000000" w:sz="4" w:space="0"/>
            </w:tcBorders>
            <w:shd w:val="clear" w:color="auto" w:fill="DAEEF3"/>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三月</w:t>
            </w:r>
          </w:p>
        </w:tc>
        <w:tc>
          <w:tcPr>
            <w:tcW w:w="870" w:type="dxa"/>
            <w:tcBorders>
              <w:top w:val="single" w:color="000000" w:sz="8" w:space="0"/>
              <w:left w:val="single" w:color="000000" w:sz="4" w:space="0"/>
              <w:bottom w:val="single" w:color="000000" w:sz="4" w:space="0"/>
              <w:right w:val="single" w:color="000000" w:sz="4" w:space="0"/>
            </w:tcBorders>
            <w:shd w:val="clear" w:color="auto" w:fill="DAEEF3"/>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四月</w:t>
            </w:r>
          </w:p>
        </w:tc>
        <w:tc>
          <w:tcPr>
            <w:tcW w:w="870" w:type="dxa"/>
            <w:tcBorders>
              <w:top w:val="single" w:color="000000" w:sz="8" w:space="0"/>
              <w:left w:val="single" w:color="000000" w:sz="4" w:space="0"/>
              <w:bottom w:val="single" w:color="000000" w:sz="4" w:space="0"/>
              <w:right w:val="single" w:color="000000" w:sz="4" w:space="0"/>
            </w:tcBorders>
            <w:shd w:val="clear" w:color="auto" w:fill="DAEEF3"/>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五月</w:t>
            </w:r>
          </w:p>
        </w:tc>
        <w:tc>
          <w:tcPr>
            <w:tcW w:w="834" w:type="dxa"/>
            <w:tcBorders>
              <w:top w:val="single" w:color="000000" w:sz="8" w:space="0"/>
              <w:left w:val="single" w:color="000000" w:sz="4" w:space="0"/>
              <w:bottom w:val="single" w:color="000000" w:sz="4" w:space="0"/>
              <w:right w:val="single" w:color="000000" w:sz="4" w:space="0"/>
            </w:tcBorders>
            <w:shd w:val="clear" w:color="auto" w:fill="DAEEF3"/>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六月</w:t>
            </w:r>
          </w:p>
        </w:tc>
        <w:tc>
          <w:tcPr>
            <w:tcW w:w="905" w:type="dxa"/>
            <w:tcBorders>
              <w:top w:val="single" w:color="000000" w:sz="8" w:space="0"/>
              <w:left w:val="single" w:color="000000" w:sz="4" w:space="0"/>
              <w:bottom w:val="single" w:color="000000" w:sz="4" w:space="0"/>
              <w:right w:val="single" w:color="000000" w:sz="4" w:space="0"/>
            </w:tcBorders>
            <w:shd w:val="clear" w:color="auto" w:fill="DAEEF3"/>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七月</w:t>
            </w:r>
          </w:p>
        </w:tc>
        <w:tc>
          <w:tcPr>
            <w:tcW w:w="870" w:type="dxa"/>
            <w:tcBorders>
              <w:top w:val="single" w:color="000000" w:sz="8" w:space="0"/>
              <w:left w:val="single" w:color="000000" w:sz="4" w:space="0"/>
              <w:bottom w:val="single" w:color="000000" w:sz="4" w:space="0"/>
              <w:right w:val="single" w:color="000000" w:sz="4" w:space="0"/>
            </w:tcBorders>
            <w:shd w:val="clear" w:color="auto" w:fill="DAEEF3"/>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八月</w:t>
            </w:r>
          </w:p>
        </w:tc>
        <w:tc>
          <w:tcPr>
            <w:tcW w:w="870" w:type="dxa"/>
            <w:tcBorders>
              <w:top w:val="single" w:color="000000" w:sz="8" w:space="0"/>
              <w:left w:val="single" w:color="000000" w:sz="4" w:space="0"/>
              <w:bottom w:val="single" w:color="000000" w:sz="4" w:space="0"/>
              <w:right w:val="single" w:color="000000" w:sz="4" w:space="0"/>
            </w:tcBorders>
            <w:shd w:val="clear" w:color="auto" w:fill="DAEEF3"/>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九月</w:t>
            </w:r>
          </w:p>
        </w:tc>
        <w:tc>
          <w:tcPr>
            <w:tcW w:w="870" w:type="dxa"/>
            <w:tcBorders>
              <w:top w:val="single" w:color="000000" w:sz="8" w:space="0"/>
              <w:left w:val="single" w:color="000000" w:sz="4" w:space="0"/>
              <w:bottom w:val="single" w:color="000000" w:sz="4" w:space="0"/>
              <w:right w:val="single" w:color="000000" w:sz="4" w:space="0"/>
            </w:tcBorders>
            <w:shd w:val="clear" w:color="auto" w:fill="DAEEF3"/>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十月</w:t>
            </w:r>
          </w:p>
        </w:tc>
        <w:tc>
          <w:tcPr>
            <w:tcW w:w="870" w:type="dxa"/>
            <w:tcBorders>
              <w:top w:val="single" w:color="000000" w:sz="8" w:space="0"/>
              <w:left w:val="single" w:color="000000" w:sz="4" w:space="0"/>
              <w:bottom w:val="single" w:color="000000" w:sz="4" w:space="0"/>
              <w:right w:val="single" w:color="000000" w:sz="4" w:space="0"/>
            </w:tcBorders>
            <w:shd w:val="clear" w:color="auto" w:fill="DAEEF3"/>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十一月</w:t>
            </w:r>
          </w:p>
        </w:tc>
        <w:tc>
          <w:tcPr>
            <w:tcW w:w="870" w:type="dxa"/>
            <w:tcBorders>
              <w:top w:val="single" w:color="000000" w:sz="8" w:space="0"/>
              <w:left w:val="single" w:color="000000" w:sz="4" w:space="0"/>
              <w:bottom w:val="single" w:color="000000" w:sz="4" w:space="0"/>
              <w:right w:val="single" w:color="000000" w:sz="8" w:space="0"/>
            </w:tcBorders>
            <w:shd w:val="clear" w:color="auto" w:fill="DAEEF3"/>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十二月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870" w:type="dxa"/>
            <w:tcBorders>
              <w:top w:val="single" w:color="000000" w:sz="4" w:space="0"/>
              <w:left w:val="single" w:color="000000" w:sz="4" w:space="0"/>
              <w:bottom w:val="single" w:color="000000" w:sz="8"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15-16上海</w:t>
            </w:r>
          </w:p>
        </w:tc>
        <w:tc>
          <w:tcPr>
            <w:tcW w:w="870" w:type="dxa"/>
            <w:tcBorders>
              <w:top w:val="single" w:color="000000" w:sz="4" w:space="0"/>
              <w:left w:val="single" w:color="000000" w:sz="4" w:space="0"/>
              <w:bottom w:val="single" w:color="000000" w:sz="8"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12-13上海</w:t>
            </w:r>
          </w:p>
        </w:tc>
        <w:tc>
          <w:tcPr>
            <w:tcW w:w="870" w:type="dxa"/>
            <w:tcBorders>
              <w:top w:val="single" w:color="000000" w:sz="4" w:space="0"/>
              <w:left w:val="single" w:color="000000" w:sz="4" w:space="0"/>
              <w:bottom w:val="single" w:color="000000" w:sz="8"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17-18上海</w:t>
            </w:r>
          </w:p>
        </w:tc>
        <w:tc>
          <w:tcPr>
            <w:tcW w:w="834" w:type="dxa"/>
            <w:tcBorders>
              <w:top w:val="single" w:color="000000" w:sz="4" w:space="0"/>
              <w:left w:val="single" w:color="000000" w:sz="4" w:space="0"/>
              <w:bottom w:val="single" w:color="000000" w:sz="8"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14-15上海</w:t>
            </w:r>
          </w:p>
        </w:tc>
        <w:tc>
          <w:tcPr>
            <w:tcW w:w="905" w:type="dxa"/>
            <w:tcBorders>
              <w:top w:val="single" w:color="000000" w:sz="4" w:space="0"/>
              <w:left w:val="single" w:color="000000" w:sz="4" w:space="0"/>
              <w:bottom w:val="single" w:color="000000" w:sz="8"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19-20上海</w:t>
            </w:r>
          </w:p>
        </w:tc>
        <w:tc>
          <w:tcPr>
            <w:tcW w:w="870" w:type="dxa"/>
            <w:tcBorders>
              <w:top w:val="single" w:color="000000" w:sz="4" w:space="0"/>
              <w:left w:val="single" w:color="000000" w:sz="4" w:space="0"/>
              <w:bottom w:val="single" w:color="000000" w:sz="8"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16-17上海</w:t>
            </w:r>
          </w:p>
        </w:tc>
        <w:tc>
          <w:tcPr>
            <w:tcW w:w="870" w:type="dxa"/>
            <w:tcBorders>
              <w:top w:val="single" w:color="000000" w:sz="4" w:space="0"/>
              <w:left w:val="single" w:color="000000" w:sz="4" w:space="0"/>
              <w:bottom w:val="single" w:color="000000" w:sz="8"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20-21上海</w:t>
            </w:r>
          </w:p>
        </w:tc>
        <w:tc>
          <w:tcPr>
            <w:tcW w:w="870" w:type="dxa"/>
            <w:tcBorders>
              <w:top w:val="single" w:color="000000" w:sz="4" w:space="0"/>
              <w:left w:val="single" w:color="000000" w:sz="4" w:space="0"/>
              <w:bottom w:val="single" w:color="000000" w:sz="8"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18-19上海</w:t>
            </w:r>
          </w:p>
        </w:tc>
        <w:tc>
          <w:tcPr>
            <w:tcW w:w="870" w:type="dxa"/>
            <w:tcBorders>
              <w:top w:val="single" w:color="000000" w:sz="4" w:space="0"/>
              <w:left w:val="single" w:color="000000" w:sz="4" w:space="0"/>
              <w:bottom w:val="single" w:color="000000" w:sz="8"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22-23上海</w:t>
            </w:r>
          </w:p>
        </w:tc>
        <w:tc>
          <w:tcPr>
            <w:tcW w:w="870" w:type="dxa"/>
            <w:tcBorders>
              <w:top w:val="single" w:color="000000" w:sz="4" w:space="0"/>
              <w:left w:val="single" w:color="000000" w:sz="4"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20-21上海</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default" w:ascii="宋体" w:hAnsi="宋体" w:eastAsia="宋体" w:cs="宋体"/>
          <w:b w:val="0"/>
          <w:bCs w:val="0"/>
          <w:color w:val="auto"/>
          <w:kern w:val="0"/>
          <w:sz w:val="24"/>
          <w:szCs w:val="24"/>
          <w:lang w:val="en-US" w:eastAsia="zh-CN" w:bidi="ar-SA"/>
        </w:rPr>
      </w:pPr>
      <w:r>
        <w:rPr>
          <w:rFonts w:hint="eastAsia" w:ascii="宋体" w:hAnsi="宋体" w:eastAsia="宋体" w:cs="宋体"/>
          <w:b/>
          <w:bCs/>
          <w:color w:val="0070C0"/>
          <w:kern w:val="0"/>
          <w:sz w:val="24"/>
          <w:szCs w:val="24"/>
          <w:lang w:val="en-US" w:eastAsia="zh-CN" w:bidi="ar-SA"/>
        </w:rPr>
        <w:t>课程对象：</w:t>
      </w:r>
      <w:r>
        <w:rPr>
          <w:rFonts w:hint="eastAsia" w:ascii="宋体" w:hAnsi="宋体" w:eastAsia="宋体" w:cs="宋体"/>
          <w:b w:val="0"/>
          <w:bCs w:val="0"/>
          <w:color w:val="auto"/>
          <w:kern w:val="0"/>
          <w:sz w:val="24"/>
          <w:szCs w:val="24"/>
          <w:lang w:val="en-US" w:eastAsia="zh-CN" w:bidi="ar-SA"/>
        </w:rPr>
        <w:t>资深销售顾问、销售主管、销售经理、销售总监、大客户经理及需要做大客户销售的营</w:t>
      </w:r>
      <w:bookmarkStart w:id="0" w:name="_GoBack"/>
      <w:bookmarkEnd w:id="0"/>
      <w:r>
        <w:rPr>
          <w:rFonts w:hint="eastAsia" w:ascii="宋体" w:hAnsi="宋体" w:eastAsia="宋体" w:cs="宋体"/>
          <w:b w:val="0"/>
          <w:bCs w:val="0"/>
          <w:color w:val="auto"/>
          <w:kern w:val="0"/>
          <w:sz w:val="24"/>
          <w:szCs w:val="24"/>
          <w:lang w:val="en-US" w:eastAsia="zh-CN" w:bidi="ar-SA"/>
        </w:rPr>
        <w:t>销人员</w:t>
      </w:r>
    </w:p>
    <w:p>
      <w:pPr>
        <w:pStyle w:val="2"/>
        <w:jc w:val="both"/>
        <w:rPr>
          <w:rFonts w:hint="eastAsia" w:ascii="宋体" w:hAnsi="宋体" w:eastAsia="宋体" w:cs="宋体"/>
          <w:b w:val="0"/>
          <w:bCs w:val="0"/>
          <w:color w:val="0070C0"/>
          <w:kern w:val="0"/>
          <w:sz w:val="24"/>
          <w:szCs w:val="24"/>
          <w:lang w:val="en-US" w:eastAsia="zh-CN" w:bidi="ar-SA"/>
        </w:rPr>
      </w:pPr>
      <w:r>
        <w:rPr>
          <w:rFonts w:hint="eastAsia" w:ascii="宋体" w:hAnsi="宋体" w:eastAsia="宋体" w:cs="宋体"/>
          <w:b/>
          <w:bCs/>
          <w:color w:val="0070C0"/>
          <w:kern w:val="0"/>
          <w:sz w:val="24"/>
          <w:szCs w:val="24"/>
          <w:lang w:val="en-US" w:eastAsia="zh-CN" w:bidi="ar-SA"/>
        </w:rPr>
        <w:t>培训费用：</w:t>
      </w:r>
      <w:r>
        <w:rPr>
          <w:rFonts w:hint="eastAsia" w:ascii="宋体" w:hAnsi="宋体" w:eastAsia="宋体" w:cs="宋体"/>
          <w:b w:val="0"/>
          <w:bCs w:val="0"/>
          <w:color w:val="auto"/>
          <w:kern w:val="0"/>
          <w:sz w:val="24"/>
          <w:szCs w:val="24"/>
          <w:lang w:val="en-US" w:eastAsia="zh-CN" w:bidi="ar-SA"/>
        </w:rPr>
        <w:t>5800</w:t>
      </w:r>
      <w:r>
        <w:rPr>
          <w:rFonts w:hint="eastAsia" w:ascii="宋体" w:hAnsi="宋体" w:eastAsia="宋体" w:cs="宋体"/>
          <w:b w:val="0"/>
          <w:bCs w:val="0"/>
          <w:color w:val="auto"/>
          <w:kern w:val="0"/>
          <w:sz w:val="24"/>
          <w:szCs w:val="24"/>
          <w:lang w:val="en-US" w:eastAsia="zh-CN" w:bidi="ar-SA"/>
        </w:rPr>
        <w:t>元</w:t>
      </w:r>
      <w:r>
        <w:rPr>
          <w:rFonts w:hint="eastAsia" w:ascii="宋体" w:hAnsi="宋体" w:eastAsia="宋体" w:cs="宋体"/>
          <w:b w:val="0"/>
          <w:bCs w:val="0"/>
          <w:color w:val="auto"/>
          <w:kern w:val="0"/>
          <w:sz w:val="24"/>
          <w:szCs w:val="24"/>
          <w:lang w:val="en-US" w:eastAsia="zh-CN" w:bidi="ar-SA"/>
        </w:rPr>
        <w:t>/人（培训费用、资料费、茶歇、结业证书、税费等）</w:t>
      </w:r>
    </w:p>
    <w:p>
      <w:pPr>
        <w:pStyle w:val="2"/>
        <w:jc w:val="both"/>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认证费用：凡希望参加认证考试之学员，在培训结束后参加认证考试并合格者，颁发与所参加培训课程专业领域相同之职业资格证书。(参加认证考试的学员须交纳此费用，不参加认证考试的学员无须交纳)</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2"/>
        <w:gridCol w:w="1283"/>
        <w:gridCol w:w="1385"/>
        <w:gridCol w:w="2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042" w:type="dxa"/>
          </w:tcPr>
          <w:p>
            <w:pPr>
              <w:keepNext w:val="0"/>
              <w:keepLines w:val="0"/>
              <w:widowControl/>
              <w:suppressLineNumbers w:val="0"/>
              <w:jc w:val="center"/>
              <w:textAlignment w:val="center"/>
              <w:rPr>
                <w:rFonts w:hint="default" w:ascii="幼圆" w:hAnsi="幼圆" w:eastAsia="幼圆" w:cs="幼圆"/>
                <w:b/>
                <w:bCs/>
                <w:i w:val="0"/>
                <w:iCs w:val="0"/>
                <w:color w:val="000000"/>
                <w:kern w:val="0"/>
                <w:sz w:val="21"/>
                <w:szCs w:val="21"/>
                <w:u w:val="none"/>
                <w:lang w:val="en-US" w:eastAsia="zh-CN" w:bidi="ar"/>
              </w:rPr>
            </w:pPr>
            <w:r>
              <w:rPr>
                <w:rFonts w:hint="eastAsia" w:ascii="幼圆" w:hAnsi="幼圆" w:eastAsia="幼圆" w:cs="幼圆"/>
                <w:b/>
                <w:bCs/>
                <w:i w:val="0"/>
                <w:iCs w:val="0"/>
                <w:color w:val="000000"/>
                <w:kern w:val="0"/>
                <w:sz w:val="21"/>
                <w:szCs w:val="21"/>
                <w:u w:val="none"/>
                <w:lang w:val="en-US" w:eastAsia="zh-CN" w:bidi="ar"/>
              </w:rPr>
              <w:t>证书类别</w:t>
            </w:r>
          </w:p>
        </w:tc>
        <w:tc>
          <w:tcPr>
            <w:tcW w:w="1283" w:type="dxa"/>
          </w:tcPr>
          <w:p>
            <w:pPr>
              <w:keepNext w:val="0"/>
              <w:keepLines w:val="0"/>
              <w:widowControl/>
              <w:suppressLineNumbers w:val="0"/>
              <w:jc w:val="center"/>
              <w:textAlignment w:val="center"/>
              <w:rPr>
                <w:rFonts w:hint="default" w:ascii="幼圆" w:hAnsi="幼圆" w:eastAsia="幼圆" w:cs="幼圆"/>
                <w:b/>
                <w:bCs/>
                <w:i w:val="0"/>
                <w:iCs w:val="0"/>
                <w:color w:val="000000"/>
                <w:kern w:val="0"/>
                <w:sz w:val="21"/>
                <w:szCs w:val="21"/>
                <w:u w:val="none"/>
                <w:lang w:val="en-US" w:eastAsia="zh-CN" w:bidi="ar"/>
              </w:rPr>
            </w:pPr>
            <w:r>
              <w:rPr>
                <w:rFonts w:hint="eastAsia" w:ascii="幼圆" w:hAnsi="幼圆" w:eastAsia="幼圆" w:cs="幼圆"/>
                <w:b/>
                <w:bCs/>
                <w:i w:val="0"/>
                <w:iCs w:val="0"/>
                <w:color w:val="000000"/>
                <w:kern w:val="0"/>
                <w:sz w:val="21"/>
                <w:szCs w:val="21"/>
                <w:u w:val="none"/>
                <w:lang w:val="en-US" w:eastAsia="zh-CN" w:bidi="ar"/>
              </w:rPr>
              <w:t>证书级别</w:t>
            </w:r>
          </w:p>
        </w:tc>
        <w:tc>
          <w:tcPr>
            <w:tcW w:w="1385" w:type="dxa"/>
          </w:tcPr>
          <w:p>
            <w:pPr>
              <w:keepNext w:val="0"/>
              <w:keepLines w:val="0"/>
              <w:widowControl/>
              <w:suppressLineNumbers w:val="0"/>
              <w:jc w:val="center"/>
              <w:textAlignment w:val="center"/>
              <w:rPr>
                <w:rFonts w:hint="default" w:ascii="幼圆" w:hAnsi="幼圆" w:eastAsia="幼圆" w:cs="幼圆"/>
                <w:b/>
                <w:bCs/>
                <w:i w:val="0"/>
                <w:iCs w:val="0"/>
                <w:color w:val="000000"/>
                <w:kern w:val="0"/>
                <w:sz w:val="21"/>
                <w:szCs w:val="21"/>
                <w:u w:val="none"/>
                <w:lang w:val="en-US" w:eastAsia="zh-CN" w:bidi="ar"/>
              </w:rPr>
            </w:pPr>
            <w:r>
              <w:rPr>
                <w:rFonts w:hint="eastAsia" w:ascii="幼圆" w:hAnsi="幼圆" w:eastAsia="幼圆" w:cs="幼圆"/>
                <w:b/>
                <w:bCs/>
                <w:i w:val="0"/>
                <w:iCs w:val="0"/>
                <w:color w:val="000000"/>
                <w:kern w:val="0"/>
                <w:sz w:val="21"/>
                <w:szCs w:val="21"/>
                <w:u w:val="none"/>
                <w:lang w:val="en-US" w:eastAsia="zh-CN" w:bidi="ar"/>
              </w:rPr>
              <w:t>费用</w:t>
            </w:r>
          </w:p>
        </w:tc>
        <w:tc>
          <w:tcPr>
            <w:tcW w:w="2702" w:type="dxa"/>
            <w:vAlign w:val="top"/>
          </w:tcPr>
          <w:p>
            <w:pPr>
              <w:keepNext w:val="0"/>
              <w:keepLines w:val="0"/>
              <w:widowControl/>
              <w:suppressLineNumbers w:val="0"/>
              <w:jc w:val="center"/>
              <w:textAlignment w:val="center"/>
              <w:rPr>
                <w:rFonts w:hint="default" w:ascii="幼圆" w:hAnsi="幼圆" w:eastAsia="幼圆" w:cs="幼圆"/>
                <w:b/>
                <w:bCs/>
                <w:i w:val="0"/>
                <w:iCs w:val="0"/>
                <w:color w:val="000000"/>
                <w:kern w:val="0"/>
                <w:sz w:val="21"/>
                <w:szCs w:val="21"/>
                <w:u w:val="none"/>
                <w:lang w:val="en-US" w:eastAsia="zh-CN" w:bidi="ar"/>
              </w:rPr>
            </w:pPr>
            <w:r>
              <w:rPr>
                <w:rFonts w:hint="eastAsia" w:ascii="幼圆" w:hAnsi="幼圆" w:eastAsia="幼圆" w:cs="幼圆"/>
                <w:b/>
                <w:bCs/>
                <w:i w:val="0"/>
                <w:iCs w:val="0"/>
                <w:color w:val="000000"/>
                <w:kern w:val="0"/>
                <w:sz w:val="21"/>
                <w:szCs w:val="21"/>
                <w:u w:val="none"/>
                <w:lang w:val="en-US" w:eastAsia="zh-CN" w:bidi="ar"/>
              </w:rPr>
              <w:t>出证日期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3042" w:type="dxa"/>
          </w:tcPr>
          <w:p>
            <w:pPr>
              <w:pStyle w:val="2"/>
              <w:jc w:val="both"/>
              <w:rPr>
                <w:rFonts w:hint="eastAsia" w:ascii="宋体" w:hAnsi="宋体" w:eastAsia="宋体" w:cs="宋体"/>
                <w:b w:val="0"/>
                <w:bCs w:val="0"/>
                <w:color w:val="auto"/>
                <w:kern w:val="0"/>
                <w:sz w:val="24"/>
                <w:szCs w:val="24"/>
                <w:vertAlign w:val="baseline"/>
                <w:lang w:val="en-US" w:eastAsia="zh-CN" w:bidi="ar-SA"/>
              </w:rPr>
            </w:pPr>
            <w:r>
              <w:rPr>
                <w:rFonts w:hint="eastAsia" w:ascii="宋体" w:hAnsi="宋体" w:eastAsia="宋体" w:cs="宋体"/>
                <w:b w:val="0"/>
                <w:bCs w:val="0"/>
                <w:color w:val="auto"/>
                <w:kern w:val="0"/>
                <w:sz w:val="24"/>
                <w:szCs w:val="24"/>
                <w:lang w:val="en-US" w:eastAsia="zh-CN" w:bidi="ar-SA"/>
              </w:rPr>
              <w:t>HKTCC香港培训认证中心</w:t>
            </w:r>
          </w:p>
        </w:tc>
        <w:tc>
          <w:tcPr>
            <w:tcW w:w="1283" w:type="dxa"/>
          </w:tcPr>
          <w:p>
            <w:pPr>
              <w:pStyle w:val="2"/>
              <w:jc w:val="both"/>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中级</w:t>
            </w:r>
          </w:p>
        </w:tc>
        <w:tc>
          <w:tcPr>
            <w:tcW w:w="1385" w:type="dxa"/>
          </w:tcPr>
          <w:p>
            <w:pPr>
              <w:pStyle w:val="2"/>
              <w:jc w:val="both"/>
              <w:rPr>
                <w:rFonts w:hint="eastAsia" w:ascii="宋体" w:hAnsi="宋体" w:eastAsia="宋体" w:cs="宋体"/>
                <w:b w:val="0"/>
                <w:bCs w:val="0"/>
                <w:color w:val="auto"/>
                <w:kern w:val="0"/>
                <w:sz w:val="24"/>
                <w:szCs w:val="24"/>
                <w:vertAlign w:val="baseline"/>
                <w:lang w:val="en-US" w:eastAsia="zh-CN" w:bidi="ar-SA"/>
              </w:rPr>
            </w:pPr>
            <w:r>
              <w:rPr>
                <w:rFonts w:hint="eastAsia" w:ascii="宋体" w:hAnsi="宋体" w:eastAsia="宋体" w:cs="宋体"/>
                <w:b w:val="0"/>
                <w:bCs w:val="0"/>
                <w:color w:val="auto"/>
                <w:kern w:val="0"/>
                <w:sz w:val="24"/>
                <w:szCs w:val="24"/>
                <w:lang w:val="en-US" w:eastAsia="zh-CN" w:bidi="ar-SA"/>
              </w:rPr>
              <w:t>1000元/人</w:t>
            </w:r>
          </w:p>
        </w:tc>
        <w:tc>
          <w:tcPr>
            <w:tcW w:w="2702" w:type="dxa"/>
            <w:vMerge w:val="restart"/>
            <w:vAlign w:val="top"/>
          </w:tcPr>
          <w:p>
            <w:pPr>
              <w:pStyle w:val="2"/>
              <w:jc w:val="both"/>
              <w:rPr>
                <w:rFonts w:hint="eastAsia" w:ascii="宋体" w:hAnsi="宋体" w:eastAsia="宋体" w:cs="宋体"/>
                <w:b w:val="0"/>
                <w:bCs w:val="0"/>
                <w:color w:val="auto"/>
                <w:kern w:val="0"/>
                <w:sz w:val="24"/>
                <w:szCs w:val="24"/>
                <w:vertAlign w:val="baseline"/>
                <w:lang w:val="en-US" w:eastAsia="zh-CN" w:bidi="ar-SA"/>
              </w:rPr>
            </w:pPr>
            <w:r>
              <w:rPr>
                <w:rFonts w:hint="eastAsia" w:ascii="宋体" w:hAnsi="宋体" w:eastAsia="宋体" w:cs="宋体"/>
                <w:b w:val="0"/>
                <w:bCs w:val="0"/>
                <w:color w:val="auto"/>
                <w:kern w:val="0"/>
                <w:sz w:val="24"/>
                <w:szCs w:val="24"/>
                <w:lang w:val="en-US" w:eastAsia="zh-CN" w:bidi="ar-SA"/>
              </w:rPr>
              <w:t>10个工作日内出证快递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3042" w:type="dxa"/>
          </w:tcPr>
          <w:p>
            <w:pPr>
              <w:pStyle w:val="2"/>
              <w:jc w:val="both"/>
              <w:rPr>
                <w:rFonts w:hint="eastAsia" w:ascii="宋体" w:hAnsi="宋体" w:eastAsia="宋体" w:cs="宋体"/>
                <w:b w:val="0"/>
                <w:bCs w:val="0"/>
                <w:color w:val="auto"/>
                <w:kern w:val="0"/>
                <w:sz w:val="24"/>
                <w:szCs w:val="24"/>
                <w:vertAlign w:val="baseline"/>
                <w:lang w:val="en-US" w:eastAsia="zh-CN" w:bidi="ar-SA"/>
              </w:rPr>
            </w:pPr>
            <w:r>
              <w:rPr>
                <w:rFonts w:hint="eastAsia" w:ascii="宋体" w:hAnsi="宋体" w:eastAsia="宋体" w:cs="宋体"/>
                <w:b w:val="0"/>
                <w:bCs w:val="0"/>
                <w:color w:val="auto"/>
                <w:kern w:val="0"/>
                <w:sz w:val="24"/>
                <w:szCs w:val="24"/>
                <w:lang w:val="en-US" w:eastAsia="zh-CN" w:bidi="ar-SA"/>
              </w:rPr>
              <w:t>HKTCC香港培训认证中心</w:t>
            </w:r>
          </w:p>
        </w:tc>
        <w:tc>
          <w:tcPr>
            <w:tcW w:w="1283" w:type="dxa"/>
          </w:tcPr>
          <w:p>
            <w:pPr>
              <w:pStyle w:val="2"/>
              <w:jc w:val="both"/>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高级</w:t>
            </w:r>
          </w:p>
        </w:tc>
        <w:tc>
          <w:tcPr>
            <w:tcW w:w="1385" w:type="dxa"/>
          </w:tcPr>
          <w:p>
            <w:pPr>
              <w:pStyle w:val="2"/>
              <w:jc w:val="both"/>
              <w:rPr>
                <w:rFonts w:hint="eastAsia" w:ascii="宋体" w:hAnsi="宋体" w:eastAsia="宋体" w:cs="宋体"/>
                <w:b w:val="0"/>
                <w:bCs w:val="0"/>
                <w:color w:val="auto"/>
                <w:kern w:val="0"/>
                <w:sz w:val="24"/>
                <w:szCs w:val="24"/>
                <w:vertAlign w:val="baseline"/>
                <w:lang w:val="en-US" w:eastAsia="zh-CN" w:bidi="ar-SA"/>
              </w:rPr>
            </w:pPr>
            <w:r>
              <w:rPr>
                <w:rFonts w:hint="eastAsia" w:ascii="宋体" w:hAnsi="宋体" w:eastAsia="宋体" w:cs="宋体"/>
                <w:b w:val="0"/>
                <w:bCs w:val="0"/>
                <w:color w:val="auto"/>
                <w:kern w:val="0"/>
                <w:sz w:val="24"/>
                <w:szCs w:val="24"/>
                <w:lang w:val="en-US" w:eastAsia="zh-CN" w:bidi="ar-SA"/>
              </w:rPr>
              <w:t>1200元/人</w:t>
            </w:r>
          </w:p>
        </w:tc>
        <w:tc>
          <w:tcPr>
            <w:tcW w:w="2702" w:type="dxa"/>
            <w:vMerge w:val="continue"/>
            <w:vAlign w:val="top"/>
          </w:tcPr>
          <w:p>
            <w:pPr>
              <w:pStyle w:val="2"/>
              <w:jc w:val="both"/>
              <w:rPr>
                <w:rFonts w:hint="eastAsia" w:ascii="宋体" w:hAnsi="宋体" w:eastAsia="宋体" w:cs="宋体"/>
                <w:b w:val="0"/>
                <w:bCs w:val="0"/>
                <w:color w:val="auto"/>
                <w:kern w:val="0"/>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3042" w:type="dxa"/>
          </w:tcPr>
          <w:p>
            <w:pPr>
              <w:bidi w:val="0"/>
              <w:jc w:val="both"/>
              <w:rPr>
                <w:rFonts w:hint="eastAsia"/>
                <w:lang w:val="en-US" w:eastAsia="zh-CN"/>
              </w:rPr>
            </w:pPr>
            <w:r>
              <w:rPr>
                <w:rFonts w:hint="eastAsia" w:ascii="宋体" w:hAnsi="宋体" w:eastAsia="宋体" w:cs="宋体"/>
                <w:b w:val="0"/>
                <w:bCs w:val="0"/>
                <w:color w:val="auto"/>
                <w:kern w:val="0"/>
                <w:sz w:val="24"/>
                <w:szCs w:val="24"/>
                <w:lang w:val="en-US" w:eastAsia="zh-CN" w:bidi="ar-SA"/>
              </w:rPr>
              <w:t>中管院专业人才技能证书</w:t>
            </w:r>
          </w:p>
        </w:tc>
        <w:tc>
          <w:tcPr>
            <w:tcW w:w="1283" w:type="dxa"/>
          </w:tcPr>
          <w:p>
            <w:pPr>
              <w:pStyle w:val="2"/>
              <w:jc w:val="both"/>
              <w:rPr>
                <w:rFonts w:hint="eastAsia" w:ascii="宋体" w:hAnsi="宋体" w:eastAsia="宋体" w:cs="宋体"/>
                <w:b w:val="0"/>
                <w:bCs w:val="0"/>
                <w:color w:val="auto"/>
                <w:kern w:val="0"/>
                <w:sz w:val="24"/>
                <w:szCs w:val="24"/>
                <w:vertAlign w:val="baseline"/>
                <w:lang w:val="en-US" w:eastAsia="zh-CN" w:bidi="ar-SA"/>
              </w:rPr>
            </w:pPr>
            <w:r>
              <w:rPr>
                <w:rFonts w:hint="eastAsia" w:ascii="宋体" w:hAnsi="宋体" w:eastAsia="宋体" w:cs="宋体"/>
                <w:b w:val="0"/>
                <w:bCs w:val="0"/>
                <w:color w:val="auto"/>
                <w:kern w:val="0"/>
                <w:sz w:val="24"/>
                <w:szCs w:val="24"/>
                <w:lang w:val="en-US" w:eastAsia="zh-CN" w:bidi="ar-SA"/>
              </w:rPr>
              <w:t>中、高级</w:t>
            </w:r>
          </w:p>
        </w:tc>
        <w:tc>
          <w:tcPr>
            <w:tcW w:w="1385" w:type="dxa"/>
          </w:tcPr>
          <w:p>
            <w:pPr>
              <w:pStyle w:val="2"/>
              <w:jc w:val="both"/>
              <w:rPr>
                <w:rFonts w:hint="eastAsia" w:ascii="宋体" w:hAnsi="宋体" w:eastAsia="宋体" w:cs="宋体"/>
                <w:b w:val="0"/>
                <w:bCs w:val="0"/>
                <w:color w:val="auto"/>
                <w:kern w:val="0"/>
                <w:sz w:val="24"/>
                <w:szCs w:val="24"/>
                <w:vertAlign w:val="baseline"/>
                <w:lang w:val="en-US" w:eastAsia="zh-CN" w:bidi="ar-SA"/>
              </w:rPr>
            </w:pPr>
            <w:r>
              <w:rPr>
                <w:rFonts w:hint="eastAsia" w:ascii="宋体" w:hAnsi="宋体" w:eastAsia="宋体" w:cs="宋体"/>
                <w:b w:val="0"/>
                <w:bCs w:val="0"/>
                <w:color w:val="auto"/>
                <w:kern w:val="0"/>
                <w:sz w:val="24"/>
                <w:szCs w:val="24"/>
                <w:lang w:val="en-US" w:eastAsia="zh-CN" w:bidi="ar-SA"/>
              </w:rPr>
              <w:t>800元/人</w:t>
            </w:r>
          </w:p>
        </w:tc>
        <w:tc>
          <w:tcPr>
            <w:tcW w:w="2702" w:type="dxa"/>
          </w:tcPr>
          <w:p>
            <w:pPr>
              <w:pStyle w:val="2"/>
              <w:jc w:val="both"/>
              <w:rPr>
                <w:rFonts w:hint="eastAsia" w:ascii="宋体" w:hAnsi="宋体" w:eastAsia="宋体" w:cs="宋体"/>
                <w:b w:val="0"/>
                <w:bCs w:val="0"/>
                <w:color w:val="auto"/>
                <w:kern w:val="0"/>
                <w:sz w:val="24"/>
                <w:szCs w:val="24"/>
                <w:vertAlign w:val="baseline"/>
                <w:lang w:val="en-US" w:eastAsia="zh-CN" w:bidi="ar-SA"/>
              </w:rPr>
            </w:pPr>
            <w:r>
              <w:rPr>
                <w:rFonts w:hint="eastAsia" w:ascii="宋体" w:hAnsi="宋体" w:eastAsia="宋体" w:cs="宋体"/>
                <w:b w:val="0"/>
                <w:bCs w:val="0"/>
                <w:color w:val="auto"/>
                <w:kern w:val="0"/>
                <w:sz w:val="24"/>
                <w:szCs w:val="24"/>
                <w:lang w:val="en-US" w:eastAsia="zh-CN" w:bidi="ar-SA"/>
              </w:rPr>
              <w:t>7个工作日出出证快递</w:t>
            </w:r>
          </w:p>
        </w:tc>
      </w:tr>
    </w:tbl>
    <w:p>
      <w:pPr>
        <w:pStyle w:val="2"/>
        <w:jc w:val="both"/>
        <w:rPr>
          <w:rFonts w:hint="eastAsia" w:ascii="宋体" w:hAnsi="宋体" w:eastAsia="宋体" w:cs="宋体"/>
          <w:b w:val="0"/>
          <w:bCs w:val="0"/>
          <w:color w:val="FF0000"/>
          <w:kern w:val="0"/>
          <w:sz w:val="22"/>
          <w:szCs w:val="22"/>
          <w:lang w:val="en-US" w:eastAsia="zh-CN" w:bidi="ar-SA"/>
        </w:rPr>
      </w:pPr>
      <w:r>
        <w:rPr>
          <w:rFonts w:hint="eastAsia" w:ascii="宋体" w:hAnsi="宋体" w:eastAsia="宋体" w:cs="宋体"/>
          <w:b w:val="0"/>
          <w:bCs w:val="0"/>
          <w:color w:val="FF0000"/>
          <w:kern w:val="0"/>
          <w:sz w:val="24"/>
          <w:szCs w:val="24"/>
          <w:lang w:val="en-US" w:eastAsia="zh-CN" w:bidi="ar-SA"/>
        </w:rPr>
        <w:t>备注：</w:t>
      </w:r>
      <w:r>
        <w:rPr>
          <w:rFonts w:hint="eastAsia" w:ascii="宋体" w:hAnsi="宋体" w:eastAsia="宋体" w:cs="宋体"/>
          <w:b w:val="0"/>
          <w:bCs w:val="0"/>
          <w:color w:val="FF0000"/>
          <w:kern w:val="0"/>
          <w:sz w:val="22"/>
          <w:szCs w:val="22"/>
          <w:lang w:val="en-US" w:eastAsia="zh-CN" w:bidi="ar-SA"/>
        </w:rPr>
        <w:t>以上课程可同步线上直播学习，也可更加贵司的培训需求做定制化内训服务！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bCs/>
          <w:color w:val="0070C0"/>
          <w:kern w:val="0"/>
          <w:sz w:val="24"/>
          <w:szCs w:val="24"/>
          <w:lang w:val="en-US" w:eastAsia="zh-CN" w:bidi="ar-SA"/>
        </w:rPr>
        <w:t>课程背景：</w:t>
      </w:r>
      <w:r>
        <w:rPr>
          <w:rFonts w:hint="eastAsia" w:ascii="宋体" w:hAnsi="宋体" w:eastAsia="宋体" w:cs="宋体"/>
          <w:b w:val="0"/>
          <w:bCs w:val="0"/>
          <w:color w:val="auto"/>
          <w:kern w:val="0"/>
          <w:sz w:val="24"/>
          <w:szCs w:val="24"/>
          <w:lang w:val="en-US" w:eastAsia="zh-CN" w:bidi="ar-SA"/>
        </w:rPr>
        <w:t xml:space="preserve">大客户，也称重点客户、关键客户、KA（key Account），是市场上被供应商公认具有战略意义的客户，他们的数量只占客户数量的20%，为供应商创造的利润和销售收入却可以占到80%。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在B2B行业中，有两种典型的大客户销售模式，一种是以基础化工原料、汽车零部件、电子元器件、光伏晶片和组件等行业为代表的配套型（OEM）大客户销售模式，另一种是以高低压电气设备、建筑材料、通讯设备等行业为代表的项目合作型或年度框架协议型大客户销售模式。无论是哪一种大客户销售模式，销售人员都会面临以下普遍性困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1.战略大客户普遍采取了供应链管理模式，供应商入围门槛提高，如何突破？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2.战略大客户内部关系错综复杂，如何搞懂客户内部政治？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3.战略大客户与竞争对手建立了长期合作关系，我方如何打破这种格局？</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4.战略大客户普遍对价格非常敏感，大品牌厂商如何才能破解？</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5.战略大客户要求客制化产品/服务，如何及时响应？</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6.成为战略大客户供应商的流程如何规划？</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7.战略大客户对供应商服务要求高，如何整合公司内部部门协同作战？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宋体" w:hAnsi="宋体" w:eastAsia="宋体" w:cs="宋体"/>
          <w:b w:val="0"/>
          <w:bCs w:val="0"/>
          <w:color w:val="auto"/>
          <w:kern w:val="0"/>
          <w:sz w:val="24"/>
          <w:szCs w:val="24"/>
          <w:lang w:val="en-US" w:eastAsia="zh-CN" w:bidi="ar-SA"/>
        </w:rPr>
        <w:t>本课程是专门面向大客户进行销售的B2B企业而设计的、以“价值营销、差异化营销、解决方案营销、服务营销、信任与关系营销、团队营销”六大核心思想为主线、以“大客户开发流程图”为基础的实战性销售课程，旨在迅速提升销售经理的大客户开发与客户关系管理技能，帮助他们建立起大客户开发及客户关系维护的系统化思路，全面解决困扰大客户销售经理的问题和困惑，最终提升大客户销售团队的整体绩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bCs/>
          <w:color w:val="0070C0"/>
          <w:kern w:val="0"/>
          <w:sz w:val="24"/>
          <w:szCs w:val="24"/>
          <w:lang w:val="en-US" w:eastAsia="zh-CN" w:bidi="ar-SA"/>
        </w:rPr>
      </w:pPr>
      <w:r>
        <w:rPr>
          <w:rFonts w:hint="eastAsia" w:ascii="宋体" w:hAnsi="宋体" w:eastAsia="宋体" w:cs="宋体"/>
          <w:b/>
          <w:bCs/>
          <w:color w:val="0070C0"/>
          <w:kern w:val="0"/>
          <w:sz w:val="24"/>
          <w:szCs w:val="24"/>
          <w:lang w:val="en-US" w:eastAsia="zh-CN" w:bidi="ar-SA"/>
        </w:rPr>
        <w:t>课程特色：</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针对性强：本课程为B2B行业量身定制，培训师具有十五年B2B行业的一线销售与营销管理经验，培训紧密贴合行业特质，针对性强。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实战性强</w:t>
      </w:r>
      <w:r>
        <w:rPr>
          <w:rFonts w:hint="eastAsia" w:ascii="宋体" w:hAnsi="宋体" w:eastAsia="宋体" w:cs="宋体"/>
          <w:b w:val="0"/>
          <w:bCs w:val="0"/>
          <w:color w:val="auto"/>
          <w:kern w:val="0"/>
          <w:sz w:val="24"/>
          <w:szCs w:val="24"/>
          <w:lang w:val="en-US" w:eastAsia="zh-CN" w:bidi="ar-SA"/>
        </w:rPr>
        <w:t>：</w:t>
      </w:r>
      <w:r>
        <w:rPr>
          <w:rFonts w:hint="eastAsia" w:ascii="宋体" w:hAnsi="宋体" w:eastAsia="宋体" w:cs="宋体"/>
          <w:b w:val="0"/>
          <w:bCs w:val="0"/>
          <w:color w:val="auto"/>
          <w:kern w:val="0"/>
          <w:sz w:val="24"/>
          <w:szCs w:val="24"/>
          <w:lang w:val="en-US" w:eastAsia="zh-CN" w:bidi="ar-SA"/>
        </w:rPr>
        <w:t>课程以大量的实战案例展开讨论，结合实际工作中学员经常遇到的问题讲解破题的方法，很多实战的技巧和策略拿过来就可以用，实战性强。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系统性强</w:t>
      </w:r>
      <w:r>
        <w:rPr>
          <w:rFonts w:hint="eastAsia" w:ascii="宋体" w:hAnsi="宋体" w:eastAsia="宋体" w:cs="宋体"/>
          <w:b w:val="0"/>
          <w:bCs w:val="0"/>
          <w:color w:val="auto"/>
          <w:kern w:val="0"/>
          <w:sz w:val="24"/>
          <w:szCs w:val="24"/>
          <w:lang w:val="en-US" w:eastAsia="zh-CN" w:bidi="ar-SA"/>
        </w:rPr>
        <w:t>：</w:t>
      </w:r>
      <w:r>
        <w:rPr>
          <w:rFonts w:hint="eastAsia" w:ascii="宋体" w:hAnsi="宋体" w:eastAsia="宋体" w:cs="宋体"/>
          <w:b w:val="0"/>
          <w:bCs w:val="0"/>
          <w:color w:val="auto"/>
          <w:kern w:val="0"/>
          <w:sz w:val="24"/>
          <w:szCs w:val="24"/>
          <w:lang w:val="en-US" w:eastAsia="zh-CN" w:bidi="ar-SA"/>
        </w:rPr>
        <w:t>课程体系严谨，结构清晰，理论与实战相得益彰，使学员能够系统化的掌握课程的理论框架，并能结合工作中的实际情况加以灵活运用。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bCs/>
          <w:color w:val="0070C0"/>
          <w:kern w:val="0"/>
          <w:sz w:val="24"/>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bCs/>
          <w:color w:val="0070C0"/>
          <w:kern w:val="0"/>
          <w:sz w:val="24"/>
          <w:szCs w:val="24"/>
          <w:lang w:val="en-US" w:eastAsia="zh-CN" w:bidi="ar-SA"/>
        </w:rPr>
      </w:pPr>
      <w:r>
        <w:rPr>
          <w:rFonts w:hint="eastAsia" w:ascii="宋体" w:hAnsi="宋体" w:eastAsia="宋体" w:cs="宋体"/>
          <w:b/>
          <w:bCs/>
          <w:color w:val="0070C0"/>
          <w:kern w:val="0"/>
          <w:sz w:val="24"/>
          <w:szCs w:val="24"/>
          <w:lang w:val="en-US" w:eastAsia="zh-CN" w:bidi="ar-SA"/>
        </w:rPr>
        <w:t>课程大纲：</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第一单元 大客户的基本概念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·大客户的定义及20:80原则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·基于销售漏斗工具的大客户开发流程（5个阶段，16个关键步骤）</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第二单元 潜在客户阶段的销售策略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·潜在客户的定义：需求+定位匹配+支付能力</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·案例：某公司潜在客户的定义标准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·客户线索、潜在客户与订单三者之间的关系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·潜在客户定位三步曲及客户地图绘制模板</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·如何获取潜在客户线索？</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·重要客户线索获取渠道1：友商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·重要客户线索获取渠道2：老客户</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·案例：潜在客户评估表工具</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第三单元 初步接触阶段的销售策略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I如何分析大客户的采购组织和采购流程？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·客户组织层级分析工具</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·五种立场及识别方法：教练（Coach）、支持、中立、反对、死敌</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·四种角色及其需求差异：UB使用人、EB采购人、TB技术人、DM决策人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·四种性格的识别及应对:老虎型、孔雀型、猫头鹰型、树袋熊型（3天版本才有）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II建立内部同盟——发展教练与线人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·线人与教练的定义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·发展教练的三条路线：由人及事、由事及人、中间人引荐</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·线人和教练有不同的作用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·教练的保护和真假教练的验证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III打击对立面——识别并处理反对者</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·客户中为何有人反对你：利益决定立场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·如何通过与客户沟通识别出反对者与死敌？</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·应对死敌的三个招数：绕过他、屏蔽他、孤立他</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第一次课堂研讨：利用组织构架图工具复盘一个成功的大客户开发案例（2天版本才有）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IV客户供应链管理模式分析</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·供应链管理策略分析</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·供应商评估流程分析</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·供应商评估标准分析</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·竞争对手优劣势分析</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·案例：理解客户的JIT采购与VMI采购</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·案例：华为对供应商的评判标准TQRDCES</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·案例：海尔的供应商评估流程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V销售机会识别</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·销售机会源自变化</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·四种典型的销售机会：</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市场变化、竞争对手变化、竞争对手变化、自身变化</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·等待变化与创造变化的策略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第四单元 技术突破阶段的销售策略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I如何挖掘客户的需求与痛点？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·需求的定义及需求产生的原因</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·客户的四种需求模式：刚需、改善、平衡、骄傲</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·四个关于需求的重要结论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·让客户产生需求的最佳手段就是制造痛点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·激发客户痛点的S-P-I-N提问策略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·如何才能让客户愿意回答你的问题？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·提问技巧实际运用的四个步骤</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·案例：福斯贝尔窑炉维修方案客户痛点挖掘话术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II解决方案呈现及价值营销策略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·解决方案的标准格式：SPIN+FABE+IMPACT+ROI</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·客户对定制化解决方案的三个关注点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 xml:space="preserve"> 1）能不能解决他们的痛点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2）解决（方案）问题的成本（投资回报率）</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·方案介绍的工具：FABE策略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·方案价值量化的三化原则：数据化、货币化、财务指标化</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·两种客户价值的呈现：硬货币价值与软货币价值</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·案例：福斯贝尔窑炉热维修方案介绍的FABE策略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·案例：福斯贝尔维修方案成本与传统方案成本对照计算表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第二次课堂研讨：提问话术设计与解决方案价值计算、呈现研讨（2天版本才有）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第五单元 商务突破阶段的销售策略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I如何与客户采购组织中的关键人发展关系？（2天以上版本才有）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·客户关系建立第一步：建立好感</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·客户关系建立第二步：建立信任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·客户关系建立第三步：满足利益</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·客户关系建立第四步：发展情感</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II从0到1：如何抓住合适的销售时机实现业务突破？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·大客户开发成功的五种典型时机：新决策人、新产品线、新问题、新采购模式、新法规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·新供应商突破路径：测试-现场评审-纳入合格供方系统-小批量-大批量-份额提升</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·公司四种资源的匹配</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 xml:space="preserve"> 1）以客户为中心的企业文化</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2）对客户需求的快速响应能力；</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3）技术创新与敏捷研发（R&amp;D）能力；</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4）公司内部各个部门的协同与配合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bCs/>
          <w:color w:val="0070C0"/>
          <w:kern w:val="0"/>
          <w:sz w:val="24"/>
          <w:szCs w:val="24"/>
          <w:lang w:val="en-US" w:eastAsia="zh-CN" w:bidi="ar-SA"/>
        </w:rPr>
      </w:pPr>
      <w:r>
        <w:rPr>
          <w:rFonts w:hint="eastAsia" w:ascii="宋体" w:hAnsi="宋体" w:eastAsia="宋体" w:cs="宋体"/>
          <w:b/>
          <w:bCs/>
          <w:color w:val="0070C0"/>
          <w:kern w:val="0"/>
          <w:sz w:val="24"/>
          <w:szCs w:val="24"/>
          <w:lang w:val="en-US" w:eastAsia="zh-CN" w:bidi="ar-SA"/>
        </w:rPr>
        <w:t>讲师简介：</w:t>
      </w:r>
    </w:p>
    <w:p>
      <w:pPr>
        <w:spacing w:line="360" w:lineRule="auto"/>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张老师</w:t>
      </w:r>
    </w:p>
    <w:p>
      <w:pPr>
        <w:spacing w:line="360" w:lineRule="auto"/>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清华-英国威尔士大学（UOW）国际MBA</w:t>
      </w:r>
    </w:p>
    <w:p>
      <w:pPr>
        <w:spacing w:line="360" w:lineRule="auto"/>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 xml:space="preserve"> SMEI美国市场营销国际执行委员会 (Sales &amp; Marketing Executives International)注册营销总监&amp;销售总监</w:t>
      </w:r>
    </w:p>
    <w:p>
      <w:pPr>
        <w:spacing w:line="360" w:lineRule="auto"/>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国家工信部工业品品牌专家组成员</w:t>
      </w:r>
    </w:p>
    <w:p>
      <w:pPr>
        <w:spacing w:line="360" w:lineRule="auto"/>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上海交大、浙大、清华、山大、武大总裁班特聘讲师</w:t>
      </w:r>
    </w:p>
    <w:p>
      <w:pPr>
        <w:spacing w:line="360" w:lineRule="auto"/>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 xml:space="preserve"> IPTS国际职业培训师协会高级培训师</w:t>
      </w:r>
    </w:p>
    <w:p>
      <w:pPr>
        <w:spacing w:line="360" w:lineRule="auto"/>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 xml:space="preserve"> 2016-2017年度中华讲师网全国营销十强培训师</w:t>
      </w:r>
    </w:p>
    <w:p>
      <w:pPr>
        <w:spacing w:line="360" w:lineRule="auto"/>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原施耐德（中国）人才发展中心特聘讲师</w:t>
      </w:r>
    </w:p>
    <w:p>
      <w:pPr>
        <w:spacing w:line="360" w:lineRule="auto"/>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原首钢国际（香港）控股销售经理</w:t>
      </w:r>
    </w:p>
    <w:p>
      <w:pPr>
        <w:spacing w:line="360" w:lineRule="auto"/>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 xml:space="preserve"> 原联众智达营销咨询集团咨询总监</w:t>
      </w:r>
    </w:p>
    <w:p>
      <w:pPr>
        <w:spacing w:line="360" w:lineRule="auto"/>
        <w:jc w:val="left"/>
        <w:rPr>
          <w:rFonts w:hint="eastAsia" w:asciiTheme="minorEastAsia" w:hAnsiTheme="minorEastAsia" w:eastAsiaTheme="minorEastAsia" w:cstheme="minorEastAsia"/>
          <w:b w:val="0"/>
          <w:bCs w:val="0"/>
          <w:sz w:val="24"/>
          <w:szCs w:val="24"/>
          <w:lang w:eastAsia="zh-CN"/>
        </w:rPr>
      </w:pPr>
    </w:p>
    <w:p>
      <w:pPr>
        <w:spacing w:line="360" w:lineRule="auto"/>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13年一线销售及国企、外企高层营销管理经验，12年职业咨询师+讲师经验，真正的实战派工业品营销专家；</w:t>
      </w:r>
    </w:p>
    <w:p>
      <w:pPr>
        <w:spacing w:line="360" w:lineRule="auto"/>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1993-2000年：在首钢集团国际贸易公司（首钢国际香港控股），任销售经理、市场发展部经理，先后负责国内大客户开发与海外市场开拓工作，成为中国国内第一批具有本土和海外双重营销经验的职业经理人。</w:t>
      </w:r>
    </w:p>
    <w:p>
      <w:pPr>
        <w:spacing w:line="360" w:lineRule="auto"/>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2001-2005年：就职于总部位于韩国的跨国企业——ELECSON自动化，担任中国区营销总监，亚太区营销副总裁，用4年时间使ELECSON在中国市场上的业绩连续翻七翻，被总部授予“杰出海外市场经理”称号。</w:t>
      </w:r>
    </w:p>
    <w:p>
      <w:pPr>
        <w:spacing w:line="360" w:lineRule="auto"/>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2005—至今：先后任联纵智达营销咨询集团工业品营销事业部项目总监，首席工业品营销顾问；上海赢道企业管理咨询有限公司首席顾问、创始人；上海交大、浙大、清华大学、山东大学客座讲师以及国网培训中心、中联重工培训学院、震旦培训中心、美的学院、施耐德中国学习与发展中心等多家企业培训机构的专职讲师；</w:t>
      </w:r>
    </w:p>
    <w:p>
      <w:pPr>
        <w:spacing w:line="360" w:lineRule="auto"/>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张老师具有丰富的实战经验和理论水平，对B2B实战营销策略、营销管理、营销战略、数字化品牌战略、渠道规划、整合营销传播、新产品上市、B2B互联网营销、服务营销等方面都有独到和深入见解，兼任多家国内及境外上市企业营销管理及战略品牌管理顾问；</w:t>
      </w:r>
    </w:p>
    <w:p>
      <w:pPr>
        <w:spacing w:line="360" w:lineRule="auto"/>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张老师目前是搜狐网等10多家专业媒体专栏作者、特约撰稿人；并著有《工业品品牌战略》、《项目性销售与标准化管理》、《在路上·抢单》、《五步拿下大订单-夺标》等专著。</w:t>
      </w:r>
    </w:p>
    <w:p>
      <w:pPr>
        <w:spacing w:line="360" w:lineRule="auto"/>
        <w:jc w:val="left"/>
        <w:rPr>
          <w:rFonts w:hint="eastAsia" w:asciiTheme="minorEastAsia" w:hAnsiTheme="minorEastAsia" w:eastAsiaTheme="minorEastAsia" w:cstheme="minorEastAsia"/>
          <w:b w:val="0"/>
          <w:bCs w:val="0"/>
          <w:sz w:val="24"/>
          <w:szCs w:val="24"/>
          <w:lang w:eastAsia="zh-CN"/>
        </w:rPr>
      </w:pPr>
    </w:p>
    <w:p>
      <w:pPr>
        <w:spacing w:line="360" w:lineRule="auto"/>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培训案例：</w:t>
      </w:r>
    </w:p>
    <w:p>
      <w:pPr>
        <w:spacing w:line="360" w:lineRule="auto"/>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电气自动化：施耐德NS、施耐德利德华福、施耐德宝光电气、ABB自动化、特变电工（新疆厂、天津厂、沈变）、思源电气、国电南瑞、国网电科院、国电南自、西门子、韩国晓星、远东电缆、特变德缆、华电开关、正泰电器、天正电气、德力西电气、浙大中控、汇川变频、西电集团、雷士照明、海洋王照明、欧普照明、烟台卧龙电气、南车时代电气、汉缆集团、乾程电子、上上电缆、德国博世力士乐、东方电子、威思顿电气、库柏电气、镇江穆勒电气…</w:t>
      </w:r>
    </w:p>
    <w:p>
      <w:pPr>
        <w:spacing w:line="360" w:lineRule="auto"/>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工程机械：美国卡特彼勒、山工机械、三一重工、中联重科、普斯迈斯特泵车、现代重工、柳工鸿得利、韩国斗山机械、日本神钢、合力叉车、福田雷萨、无锡开普动力、日本洋马农机、长沙山河智能、徐工建机、徐工道路机械、韩国LS农业装备…</w:t>
      </w:r>
    </w:p>
    <w:p>
      <w:pPr>
        <w:spacing w:line="360" w:lineRule="auto"/>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钢铁&amp;有色：宝武钢铁、太原钢铁、中原特钢、鞍钢股份、澳洲博思格钢铁、比利时贝卡尔特、上海宝钢人才开发院、湖南华菱钢铁、中冶国际、中国五矿、中铝瑞闽、金田铜业、昆明冶研、德国梅塞尔气体、山东焦化、德国欧区爱铸造、中冶赛迪、大冶有色、金宏气体、广州金属物产集团、派克新材…</w:t>
      </w:r>
    </w:p>
    <w:p>
      <w:pPr>
        <w:spacing w:line="360" w:lineRule="auto"/>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化工：中石化化工销售华东分公司、中石化炼油销售有限公司、中化国际、传化化学、天山化工、SHRIEVE化工、松井化学、中国远大、中国海洋石油LNG、中化蓝天、青岛海湾集团、法国阿克玛氟化学、山东海科化工、新奥能源（LNG）、加德士润滑油、德润宝润滑油、日本DIC油墨、烟台万华、龙蟠润滑油…</w:t>
      </w:r>
    </w:p>
    <w:p>
      <w:pPr>
        <w:spacing w:line="360" w:lineRule="auto"/>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交通物流：中国一汽、中国远洋（COSCO）、中外运、安能物流、长安民生物流、江汽物流、中国南车、中国北车、恒通客车、陕西重汽、三江瓦利特、宇通客车、苏州金龙海格、厦门金龙、吉利汽车、上海沪工、江南造船…</w:t>
      </w:r>
    </w:p>
    <w:p>
      <w:pPr>
        <w:spacing w:line="360" w:lineRule="auto"/>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工程建材：南玻玻璃、信义玻璃、金晶科技、圣戈班、华耐建材、中材科技、威士伯-华润涂料、厦门双瑞涂料、德国旭格门窗、蒙娜丽莎陶瓷、东鹏陶瓷、凤铝铝材…</w:t>
      </w:r>
    </w:p>
    <w:p>
      <w:pPr>
        <w:spacing w:line="360" w:lineRule="auto"/>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EPC总承包及设计院：中冶国际MCC、中冶赛迪、中建三局、宝钢建设、中亿丰（苏州二建）、五矿建设、中原核电、葛洲坝集团、五矿二十三冶、中铝国际工程、中国电建集团、中南建设、上海建科院、广东建筑院、中煤（西安）院、佛山电力院、吉林城市规划院、上海现代建筑设计院、北京五洲设计院、中国核动力研究院、国网中央研究院、上海建工设计总院、中船勘察设计院、梅山钢铁设计院、上海水利院、浙江环境科技、上海建科院、温州设计集团、中铁设计院</w:t>
      </w:r>
    </w:p>
    <w:p>
      <w:pPr>
        <w:spacing w:line="360" w:lineRule="auto"/>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暖通空调：大金空调、开利空调、美的中央空调、美国Armstrong、杭州锅炉、华意压缩、苏尔寿水泵、斯派莎克阀门、澳柯玛、海信日立空调、良机制冷、烟台冰轮、杜肯索斯、大连冰山、美的部品、凯士比泵、德国施乐百风机…</w:t>
      </w:r>
    </w:p>
    <w:p>
      <w:pPr>
        <w:spacing w:line="360" w:lineRule="auto"/>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机械&amp;汽车零部件&amp;机器人：阿特拉斯·科普柯、曼胡默尔滤清器、江淮、万安、山东豪迈、青岛软控、新松机器人、北方重工、合肥巨一、东力传动、泰凯英轮胎、万向集团、德国库卡机器人、中粮机械、美国寿力压缩机、南高齿、约翰克兰密封、纽威数控…</w:t>
      </w:r>
    </w:p>
    <w:p>
      <w:pPr>
        <w:spacing w:line="360" w:lineRule="auto"/>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IT信息化与智能楼宇：盛大网络、易车网、中国电信、中国网通、美国新飞通、北电网络、国人通信、泰豪科技、施耐德智能楼宇事业部、中国普天、美国澳汰尔、烽火通讯、上海东方有线、中国铁塔、浪潮集团、国睿科技、宝钢宝信…</w:t>
      </w:r>
    </w:p>
    <w:p>
      <w:pPr>
        <w:spacing w:line="360" w:lineRule="auto"/>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半导体&amp;电子元器件：中航光电、日本广濑、德国Wieland金属、深圳光峰、日本滨松、德胜电子、德赛电池、日本广濑电机、中微腾芯、中国电子科技集团（45所、55所、39所、青干班）、研祥科技、英国摩根新材料…</w:t>
      </w:r>
    </w:p>
    <w:p>
      <w:pPr>
        <w:spacing w:line="360" w:lineRule="auto"/>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煤炭：神华、中煤、天池能源</w:t>
      </w:r>
    </w:p>
    <w:p>
      <w:pPr>
        <w:spacing w:line="360" w:lineRule="auto"/>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新能源：特变新能源、保利协鑫、南玻太阳能、南车风电、晶科能源、阳光电源（智维、氢能、电站）、天合光能…</w:t>
      </w:r>
    </w:p>
    <w:p>
      <w:pPr>
        <w:spacing w:line="360" w:lineRule="auto"/>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环保与水务：龙净环保、安帧环保、思普润水处理、兴源过滤、北控水务、金科环境、首创水务、福光水务…</w:t>
      </w:r>
    </w:p>
    <w:p>
      <w:pPr>
        <w:spacing w:line="360" w:lineRule="auto"/>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军工：中国兵装集团、中国兵器工业集团、中国电子科技集团、中船重工、中航工业</w:t>
      </w:r>
    </w:p>
    <w:p>
      <w:pPr>
        <w:spacing w:line="360" w:lineRule="auto"/>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房地产及园区：招商局蛇口、深圳桑田岛园区管委会…</w:t>
      </w:r>
    </w:p>
    <w:p>
      <w:pPr>
        <w:spacing w:line="360" w:lineRule="auto"/>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医药&amp;诊断&amp;医疗器械：湖北尔康制药、乐凯医疗、康圣环球医疗、江苏双林留置针、上海微创医疗…</w:t>
      </w:r>
    </w:p>
    <w:p>
      <w:pPr>
        <w:spacing w:line="360" w:lineRule="auto"/>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金融：东风汽车金融、交通银行贵州分行、平安银行上海分行、广发行上海分行、招商信诺保险、进出口银行、上海银行、中行惠州分行…</w:t>
      </w:r>
    </w:p>
    <w:p>
      <w:pPr>
        <w:spacing w:line="360" w:lineRule="auto"/>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高等院校：上海交大总裁班、浙大总裁班、清华总裁班、华科大营销班…</w:t>
      </w:r>
    </w:p>
    <w:p>
      <w:pPr>
        <w:spacing w:line="360" w:lineRule="auto"/>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其他：易居中国、张江留学创业园、东莞汇美、中粮包装、安居科技、西班牙英赛德耐火、APP纸业、法国必维检验（BV）、赛得利纤维、百事可乐…</w:t>
      </w:r>
    </w:p>
    <w:p>
      <w:pPr>
        <w:pStyle w:val="2"/>
        <w:jc w:val="left"/>
        <w:rPr>
          <w:rFonts w:hint="default" w:asciiTheme="minorEastAsia" w:hAnsiTheme="minorEastAsia" w:eastAsiaTheme="minorEastAsia" w:cstheme="minorEastAsia"/>
          <w:b/>
          <w:bCs/>
          <w:color w:val="0070C0"/>
          <w:kern w:val="0"/>
          <w:sz w:val="24"/>
          <w:szCs w:val="24"/>
          <w:lang w:val="en-US" w:eastAsia="zh-CN" w:bidi="ar-SA"/>
        </w:rPr>
      </w:pPr>
      <w:r>
        <w:rPr>
          <w:rFonts w:hint="eastAsia" w:asciiTheme="minorEastAsia" w:hAnsiTheme="minorEastAsia" w:eastAsiaTheme="minorEastAsia" w:cstheme="minorEastAsia"/>
          <w:b/>
          <w:bCs/>
          <w:sz w:val="24"/>
          <w:szCs w:val="24"/>
          <w:lang w:val="en-US" w:eastAsia="zh-CN"/>
        </w:rPr>
        <w:t xml:space="preserve">                           </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幼圆">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bidi/>
      <w:ind w:left="840" w:right="840" w:rightChars="400"/>
    </w:pP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zMTlhN2U1ZDIxM2QwYjBlYTgxYzAyYTQ1Yzk5MjQifQ=="/>
  </w:docVars>
  <w:rsids>
    <w:rsidRoot w:val="00000000"/>
    <w:rsid w:val="05C86C24"/>
    <w:rsid w:val="0AA4559D"/>
    <w:rsid w:val="12F75385"/>
    <w:rsid w:val="13174155"/>
    <w:rsid w:val="17585E3F"/>
    <w:rsid w:val="178929CA"/>
    <w:rsid w:val="1BBD6EBC"/>
    <w:rsid w:val="28573B25"/>
    <w:rsid w:val="37994CBC"/>
    <w:rsid w:val="50D571DB"/>
    <w:rsid w:val="56C375C9"/>
    <w:rsid w:val="59E95710"/>
    <w:rsid w:val="5E501598"/>
    <w:rsid w:val="5FCA4037"/>
    <w:rsid w:val="676C4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样式1"/>
    <w:basedOn w:val="3"/>
    <w:qFormat/>
    <w:uiPriority w:val="0"/>
    <w:pPr>
      <w:tabs>
        <w:tab w:val="center" w:pos="4153"/>
        <w:tab w:val="right" w:pos="8306"/>
      </w:tabs>
      <w:spacing w:line="360" w:lineRule="auto"/>
      <w:jc w:val="center"/>
    </w:pPr>
    <w:rPr>
      <w:rFonts w:ascii="微软雅黑" w:hAnsi="微软雅黑" w:eastAsia="微软雅黑"/>
      <w:sz w:val="32"/>
      <w:szCs w:val="32"/>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er"/>
    <w:basedOn w:val="1"/>
    <w:qFormat/>
    <w:uiPriority w:val="0"/>
    <w:pPr>
      <w:tabs>
        <w:tab w:val="center" w:pos="4153"/>
        <w:tab w:val="right" w:pos="8306"/>
      </w:tabs>
      <w:snapToGrid w:val="0"/>
      <w:jc w:val="left"/>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character" w:styleId="9">
    <w:name w:val="FollowedHyperlink"/>
    <w:basedOn w:val="7"/>
    <w:qFormat/>
    <w:uiPriority w:val="0"/>
    <w:rPr>
      <w:color w:val="800080"/>
      <w:u w:val="single"/>
    </w:rPr>
  </w:style>
  <w:style w:type="character" w:styleId="10">
    <w:name w:val="Hyperlink"/>
    <w:basedOn w:val="7"/>
    <w:qFormat/>
    <w:uiPriority w:val="0"/>
    <w:rPr>
      <w:color w:val="0000FF"/>
      <w:u w:val="single"/>
    </w:rPr>
  </w:style>
  <w:style w:type="paragraph" w:customStyle="1" w:styleId="11">
    <w:name w:val="默认段落字体 Para Char Char Char Char"/>
    <w:basedOn w:val="1"/>
    <w:qFormat/>
    <w:uiPriority w:val="0"/>
    <w:pPr>
      <w:widowControl w:val="0"/>
      <w:adjustRightInd/>
      <w:snapToGrid/>
      <w:spacing w:after="0" w:afterLines="0"/>
      <w:jc w:val="both"/>
    </w:pPr>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280</Words>
  <Characters>297</Characters>
  <Lines>0</Lines>
  <Paragraphs>0</Paragraphs>
  <TotalTime>1</TotalTime>
  <ScaleCrop>false</ScaleCrop>
  <LinksUpToDate>false</LinksUpToDate>
  <CharactersWithSpaces>324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2022-10-21T08:43:00Z</dcterms:created>
  <dc:creator>Administrator</dc:creator>
  <cp:lastModifiedBy>企赢彭老师（渠道）18820199517</cp:lastModifiedBy>
  <dcterms:modified xsi:type="dcterms:W3CDTF">2022-11-12T10:40:38Z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F49DC766BB1740B48F5942E4AD99BB73</vt:lpwstr>
  </property>
</Properties>
</file>