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2"/>
        <w:gridCol w:w="1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1355" w:type="dxa"/>
            <w:gridSpan w:val="2"/>
            <w:tcBorders>
              <w:top w:val="single" w:color="000000" w:sz="8" w:space="0"/>
              <w:left w:val="single" w:color="000000" w:sz="8" w:space="0"/>
              <w:bottom w:val="single" w:color="000000" w:sz="4" w:space="0"/>
              <w:right w:val="single" w:color="000000" w:sz="4" w:space="0"/>
            </w:tcBorders>
            <w:shd w:val="clear" w:color="auto" w:fill="99CC00"/>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FFFFFF"/>
                <w:sz w:val="36"/>
                <w:szCs w:val="36"/>
                <w:u w:val="none"/>
              </w:rPr>
            </w:pPr>
            <w:bookmarkStart w:id="0" w:name="_GoBack" w:colFirst="0" w:colLast="1"/>
            <w:r>
              <w:rPr>
                <w:rFonts w:hint="eastAsia" w:ascii="微软雅黑" w:hAnsi="微软雅黑" w:eastAsia="微软雅黑" w:cs="微软雅黑"/>
                <w:b/>
                <w:bCs/>
                <w:i w:val="0"/>
                <w:iCs w:val="0"/>
                <w:color w:val="FFFFFF"/>
                <w:kern w:val="0"/>
                <w:sz w:val="40"/>
                <w:szCs w:val="40"/>
                <w:u w:val="none"/>
                <w:bdr w:val="single" w:color="000000" w:sz="8" w:space="0"/>
                <w:shd w:val="clear" w:fill="99CC00"/>
                <w:lang w:val="en-US" w:eastAsia="zh-CN" w:bidi="ar"/>
              </w:rPr>
              <w:drawing>
                <wp:anchor distT="0" distB="0" distL="114300" distR="114300" simplePos="0" relativeHeight="251660288" behindDoc="0" locked="0" layoutInCell="1" allowOverlap="1">
                  <wp:simplePos x="0" y="0"/>
                  <wp:positionH relativeFrom="column">
                    <wp:posOffset>5810885</wp:posOffset>
                  </wp:positionH>
                  <wp:positionV relativeFrom="paragraph">
                    <wp:posOffset>0</wp:posOffset>
                  </wp:positionV>
                  <wp:extent cx="979805" cy="352425"/>
                  <wp:effectExtent l="0" t="0" r="10795" b="9525"/>
                  <wp:wrapNone/>
                  <wp:docPr id="105" name="Group_1"/>
                  <wp:cNvGraphicFramePr/>
                  <a:graphic xmlns:a="http://schemas.openxmlformats.org/drawingml/2006/main">
                    <a:graphicData uri="http://schemas.openxmlformats.org/drawingml/2006/picture">
                      <pic:pic xmlns:pic="http://schemas.openxmlformats.org/drawingml/2006/picture">
                        <pic:nvPicPr>
                          <pic:cNvPr id="105" name="Group_1"/>
                          <pic:cNvPicPr/>
                        </pic:nvPicPr>
                        <pic:blipFill>
                          <a:blip r:embed="rId4"/>
                          <a:stretch>
                            <a:fillRect/>
                          </a:stretch>
                        </pic:blipFill>
                        <pic:spPr>
                          <a:xfrm>
                            <a:off x="0" y="0"/>
                            <a:ext cx="979805" cy="352425"/>
                          </a:xfrm>
                          <a:prstGeom prst="rect">
                            <a:avLst/>
                          </a:prstGeom>
                          <a:noFill/>
                          <a:ln>
                            <a:noFill/>
                          </a:ln>
                        </pic:spPr>
                      </pic:pic>
                    </a:graphicData>
                  </a:graphic>
                </wp:anchor>
              </w:drawing>
            </w:r>
            <w:r>
              <w:rPr>
                <w:rFonts w:hint="eastAsia" w:ascii="微软雅黑" w:hAnsi="微软雅黑" w:eastAsia="微软雅黑" w:cs="微软雅黑"/>
                <w:b/>
                <w:bCs/>
                <w:i w:val="0"/>
                <w:iCs w:val="0"/>
                <w:color w:val="FFFFFF"/>
                <w:kern w:val="0"/>
                <w:sz w:val="40"/>
                <w:szCs w:val="40"/>
                <w:u w:val="none"/>
                <w:lang w:val="en-US" w:eastAsia="zh-CN" w:bidi="ar"/>
              </w:rPr>
              <w:t>OEE设备综合效率提升与优化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1355" w:type="dxa"/>
            <w:gridSpan w:val="2"/>
            <w:tcBorders>
              <w:top w:val="single" w:color="000000" w:sz="4" w:space="0"/>
              <w:left w:val="single" w:color="000000" w:sz="8" w:space="0"/>
              <w:bottom w:val="single" w:color="000000" w:sz="4" w:space="0"/>
              <w:right w:val="single" w:color="000000" w:sz="4" w:space="0"/>
            </w:tcBorders>
            <w:shd w:val="clear" w:color="auto" w:fill="99CC00"/>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FF"/>
                <w:sz w:val="24"/>
                <w:szCs w:val="24"/>
                <w:u w:val="none"/>
              </w:rPr>
            </w:pPr>
            <w:r>
              <w:rPr>
                <w:rFonts w:hint="eastAsia" w:ascii="微软雅黑" w:hAnsi="微软雅黑" w:eastAsia="微软雅黑" w:cs="微软雅黑"/>
                <w:b/>
                <w:bCs/>
                <w:i w:val="0"/>
                <w:iCs w:val="0"/>
                <w:color w:val="0000FF"/>
                <w:kern w:val="0"/>
                <w:sz w:val="24"/>
                <w:szCs w:val="24"/>
                <w:u w:val="none"/>
                <w:lang w:val="en-US" w:eastAsia="zh-CN" w:bidi="ar"/>
              </w:rPr>
              <w:t>培训背景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1355" w:type="dxa"/>
            <w:gridSpan w:val="2"/>
            <w:vMerge w:val="restart"/>
            <w:tcBorders>
              <w:top w:val="single" w:color="000000" w:sz="4" w:space="0"/>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中国经济发展进入新常态，工业4.0、移动互联网、互联网+，一个个新名词扑面而来，德国工业4.0和中国制造2025，将从观念、技术手段上极大地提升制造业的效率，未来企业的竞争一定是效率之争，这已经毋庸置疑。</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目前国内很多制造企业还有很多在使用设备故障停机时间、故障停机率来考核设备部门及其绩效。这些指标不能完整地体现设备的工作成绩，也不能体现与生产有关各部门对生产的影响。自上个世纪70年代英国的维修杂志主编丹尼斯巴克斯发表了设备综合工程学的理论，提出要用设备综合效率来衡量设备的绩效。引起了维修行业的广泛的关注和进行了深入的研究，经过实践取得了良好效果。</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     那么到底为什么要使用设备综合效率OE E管理来考核设备绩效呢？推行的理由有以下几个：</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1、OEE的评价可使设备的运转状态与企业的经济效率结合起来，有利于“设备服务于生产”，从而形成全员参与的设备维护的综合管理体制。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2、OEE的统计和分析能全面暴露出企业效率管理各个方面的问题。有利于改善设备的使用、维护保养、 资材保证、质量检查及后勤服务的工作，消除浪费，挖掘生产潜力、提高生产效率；提高企业利润和投资回报率。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世界经济500强企业、无论是在欧美还是日韩，都在使用设备综合效率OEE来评价和管理设备的绩效，因此引入OEE管理是现代管理的大势所趋，是实施精益生产的基础。建议国内还没有引入或刚刚引入的企业，正本清源、纠正偏差，为正确推广和使用打下良好的基础。</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4、OEE是构建工厂数字化管理的基础，适应未来制造大数据的采集和分析应用。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因此，从OEE的理念和统计出发，分析和对策各种浪费的基因，对设备形成管理故障维修、计划保养和预防维修相结合的综合设备管理体系，保证设备综合效率的提升，追求生产系统效率的极限，追求「零灾害、零不良、零故障、零浪费」，将所有损失事先加以防止，从而取得经济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1355" w:type="dxa"/>
            <w:gridSpan w:val="2"/>
            <w:vMerge w:val="continue"/>
            <w:tcBorders>
              <w:top w:val="single" w:color="000000" w:sz="4" w:space="0"/>
              <w:left w:val="single" w:color="000000" w:sz="8" w:space="0"/>
              <w:bottom w:val="nil"/>
              <w:right w:val="single" w:color="000000" w:sz="8" w:space="0"/>
            </w:tcBorders>
            <w:shd w:val="clear"/>
            <w:vAlign w:val="top"/>
          </w:tcPr>
          <w:p>
            <w:pPr>
              <w:jc w:val="left"/>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1355" w:type="dxa"/>
            <w:gridSpan w:val="2"/>
            <w:vMerge w:val="continue"/>
            <w:tcBorders>
              <w:top w:val="single" w:color="000000" w:sz="4" w:space="0"/>
              <w:left w:val="single" w:color="000000" w:sz="8" w:space="0"/>
              <w:bottom w:val="nil"/>
              <w:right w:val="single" w:color="000000" w:sz="8" w:space="0"/>
            </w:tcBorders>
            <w:shd w:val="clear"/>
            <w:vAlign w:val="top"/>
          </w:tcPr>
          <w:p>
            <w:pPr>
              <w:jc w:val="left"/>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11355" w:type="dxa"/>
            <w:gridSpan w:val="2"/>
            <w:vMerge w:val="continue"/>
            <w:tcBorders>
              <w:top w:val="single" w:color="000000" w:sz="4" w:space="0"/>
              <w:left w:val="single" w:color="000000" w:sz="8" w:space="0"/>
              <w:bottom w:val="nil"/>
              <w:right w:val="single" w:color="000000" w:sz="8" w:space="0"/>
            </w:tcBorders>
            <w:shd w:val="clear"/>
            <w:vAlign w:val="top"/>
          </w:tcPr>
          <w:p>
            <w:pPr>
              <w:jc w:val="left"/>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1355" w:type="dxa"/>
            <w:gridSpan w:val="2"/>
            <w:vMerge w:val="continue"/>
            <w:tcBorders>
              <w:top w:val="single" w:color="000000" w:sz="4" w:space="0"/>
              <w:left w:val="single" w:color="000000" w:sz="8" w:space="0"/>
              <w:bottom w:val="nil"/>
              <w:right w:val="single" w:color="000000" w:sz="8" w:space="0"/>
            </w:tcBorders>
            <w:shd w:val="clear"/>
            <w:vAlign w:val="top"/>
          </w:tcPr>
          <w:p>
            <w:pPr>
              <w:jc w:val="left"/>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11355" w:type="dxa"/>
            <w:gridSpan w:val="2"/>
            <w:vMerge w:val="continue"/>
            <w:tcBorders>
              <w:top w:val="single" w:color="000000" w:sz="4" w:space="0"/>
              <w:left w:val="single" w:color="000000" w:sz="8" w:space="0"/>
              <w:bottom w:val="nil"/>
              <w:right w:val="single" w:color="000000" w:sz="8" w:space="0"/>
            </w:tcBorders>
            <w:shd w:val="clear"/>
            <w:vAlign w:val="top"/>
          </w:tcPr>
          <w:p>
            <w:pPr>
              <w:jc w:val="left"/>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11355" w:type="dxa"/>
            <w:gridSpan w:val="2"/>
            <w:vMerge w:val="continue"/>
            <w:tcBorders>
              <w:top w:val="single" w:color="000000" w:sz="4" w:space="0"/>
              <w:left w:val="single" w:color="000000" w:sz="8" w:space="0"/>
              <w:bottom w:val="nil"/>
              <w:right w:val="single" w:color="000000" w:sz="8" w:space="0"/>
            </w:tcBorders>
            <w:shd w:val="clear"/>
            <w:vAlign w:val="top"/>
          </w:tcPr>
          <w:p>
            <w:pPr>
              <w:jc w:val="left"/>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11355" w:type="dxa"/>
            <w:gridSpan w:val="2"/>
            <w:vMerge w:val="continue"/>
            <w:tcBorders>
              <w:top w:val="single" w:color="000000" w:sz="4" w:space="0"/>
              <w:left w:val="single" w:color="000000" w:sz="8" w:space="0"/>
              <w:bottom w:val="nil"/>
              <w:right w:val="single" w:color="000000" w:sz="8" w:space="0"/>
            </w:tcBorders>
            <w:shd w:val="clear"/>
            <w:vAlign w:val="top"/>
          </w:tcPr>
          <w:p>
            <w:pPr>
              <w:jc w:val="left"/>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1355" w:type="dxa"/>
            <w:gridSpan w:val="2"/>
            <w:tcBorders>
              <w:top w:val="single" w:color="000000" w:sz="4" w:space="0"/>
              <w:left w:val="single" w:color="000000" w:sz="8" w:space="0"/>
              <w:bottom w:val="single" w:color="000000" w:sz="4" w:space="0"/>
              <w:right w:val="single" w:color="000000" w:sz="4" w:space="0"/>
            </w:tcBorders>
            <w:shd w:val="clear" w:color="auto" w:fill="99CC00"/>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FF"/>
                <w:sz w:val="24"/>
                <w:szCs w:val="24"/>
                <w:u w:val="none"/>
              </w:rPr>
            </w:pPr>
            <w:r>
              <w:rPr>
                <w:rFonts w:hint="eastAsia" w:ascii="微软雅黑" w:hAnsi="微软雅黑" w:eastAsia="微软雅黑" w:cs="微软雅黑"/>
                <w:b/>
                <w:bCs/>
                <w:i w:val="0"/>
                <w:iCs w:val="0"/>
                <w:color w:val="0000FF"/>
                <w:kern w:val="0"/>
                <w:sz w:val="24"/>
                <w:szCs w:val="24"/>
                <w:u w:val="none"/>
                <w:lang w:val="en-US" w:eastAsia="zh-CN" w:bidi="ar"/>
              </w:rPr>
              <w:t>培训收益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113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Symbol" w:hAnsi="Symbol" w:eastAsia="宋体" w:cs="Symbol"/>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通过培训课程的实施，将帮助学员和企业应掌握OEE的相关知识和能力，回答和解决以下问题：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  对设备工作中的各种浪费和损失是否有全面的了解？</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您是否了解0EE作为设备效率考核指标的好处？</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  使用OEE考核能给企业降低多少成本？</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  怎样建立预防维修体系，三种建立的方法如何应用？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  在现场实践中计算OEE来考核设备效率、为什么有那么多的误区？怎样进行分析和改善？</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  怎样减少管理的浪费，设计计划保全？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  您是否想提升设备维修速度、减少故障停机时间吗？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  您是否想减少生产准备的浪费，实现快速换型SMED吗？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9  您是否想减少加工不良，学习防呆法吗？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10  您是否想引进数字化的综合效率管理系统来管理生产吗？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11  您是否想体验以项目团队改善的方式来提升设备OEE吗？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12  您是否了解未来的企业竞争是效率的竞争，工业4.0提升设备效率的方向是什么？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11355" w:type="dxa"/>
            <w:gridSpan w:val="2"/>
            <w:tcBorders>
              <w:top w:val="single" w:color="000000" w:sz="4" w:space="0"/>
              <w:left w:val="single" w:color="000000" w:sz="8" w:space="0"/>
              <w:bottom w:val="single" w:color="000000" w:sz="4" w:space="0"/>
              <w:right w:val="single" w:color="000000" w:sz="4" w:space="0"/>
            </w:tcBorders>
            <w:shd w:val="clear" w:color="auto" w:fill="99CC00"/>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FF"/>
                <w:sz w:val="24"/>
                <w:szCs w:val="24"/>
                <w:u w:val="none"/>
              </w:rPr>
            </w:pPr>
            <w:r>
              <w:rPr>
                <w:rFonts w:hint="eastAsia" w:ascii="微软雅黑" w:hAnsi="微软雅黑" w:eastAsia="微软雅黑" w:cs="微软雅黑"/>
                <w:b/>
                <w:bCs/>
                <w:i w:val="0"/>
                <w:iCs w:val="0"/>
                <w:color w:val="0000FF"/>
                <w:kern w:val="0"/>
                <w:sz w:val="24"/>
                <w:szCs w:val="24"/>
                <w:u w:val="none"/>
                <w:lang w:val="en-US" w:eastAsia="zh-CN" w:bidi="ar"/>
              </w:rPr>
              <w:t>授课对象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11355" w:type="dxa"/>
            <w:gridSpan w:val="2"/>
            <w:tcBorders>
              <w:top w:val="single" w:color="000000" w:sz="4" w:space="0"/>
              <w:left w:val="single" w:color="000000" w:sz="8" w:space="0"/>
              <w:bottom w:val="single" w:color="000000" w:sz="4" w:space="0"/>
              <w:right w:val="single" w:color="000000" w:sz="8"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生产副总经理、生产总监、精益/IE部经理、生产制造经理、设备/工程部经理、TPM推进领导小组成员和参与成员、IE主管、生产计划统计、设备维修主管及工程师、其他中层管理人员和设备相关工程技术人员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1355" w:type="dxa"/>
            <w:gridSpan w:val="2"/>
            <w:tcBorders>
              <w:top w:val="single" w:color="000000" w:sz="4" w:space="0"/>
              <w:left w:val="single" w:color="000000" w:sz="8" w:space="0"/>
              <w:bottom w:val="single" w:color="000000" w:sz="4" w:space="0"/>
              <w:right w:val="single" w:color="000000" w:sz="4" w:space="0"/>
            </w:tcBorders>
            <w:shd w:val="clear" w:color="auto" w:fill="99CC00"/>
            <w:noWrap/>
            <w:vAlign w:val="center"/>
          </w:tcPr>
          <w:p>
            <w:pPr>
              <w:keepNext w:val="0"/>
              <w:keepLines w:val="0"/>
              <w:widowControl/>
              <w:suppressLineNumbers w:val="0"/>
              <w:jc w:val="left"/>
              <w:textAlignment w:val="center"/>
            </w:pPr>
            <w:r>
              <w:rPr>
                <w:rFonts w:hint="eastAsia" w:ascii="微软雅黑" w:hAnsi="微软雅黑" w:eastAsia="微软雅黑" w:cs="微软雅黑"/>
                <w:b/>
                <w:bCs/>
                <w:i w:val="0"/>
                <w:iCs w:val="0"/>
                <w:color w:val="0000FF"/>
                <w:kern w:val="0"/>
                <w:sz w:val="24"/>
                <w:szCs w:val="24"/>
                <w:u w:val="none"/>
                <w:lang w:val="en-US" w:eastAsia="zh-CN" w:bidi="ar"/>
              </w:rPr>
              <w:t>课程大纲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65" w:hRule="atLeast"/>
        </w:trPr>
        <w:tc>
          <w:tcPr>
            <w:tcW w:w="11355" w:type="dxa"/>
            <w:gridSpan w:val="2"/>
            <w:vMerge w:val="restart"/>
            <w:tcBorders>
              <w:top w:val="single" w:color="000000" w:sz="4" w:space="0"/>
              <w:left w:val="single" w:color="000000" w:sz="8" w:space="0"/>
              <w:bottom w:val="nil"/>
              <w:right w:val="nil"/>
            </w:tcBorders>
            <w:shd w:val="clear"/>
            <w:noWrap/>
            <w:vAlign w:val="bottom"/>
          </w:tcPr>
          <w:p>
            <w:pPr>
              <w:keepNext w:val="0"/>
              <w:keepLines w:val="0"/>
              <w:widowControl/>
              <w:suppressLineNumbers w:val="0"/>
              <w:jc w:val="center"/>
              <w:textAlignment w:val="bottom"/>
            </w:pPr>
            <w:r>
              <w:rPr>
                <w:rFonts w:hint="eastAsia" w:ascii="宋体" w:hAnsi="宋体" w:eastAsia="宋体" w:cs="宋体"/>
                <w:i w:val="0"/>
                <w:iCs w:val="0"/>
                <w:color w:val="0000FF"/>
                <w:kern w:val="0"/>
                <w:sz w:val="18"/>
                <w:szCs w:val="18"/>
                <w:u w:val="none"/>
                <w:bdr w:val="single" w:color="000000" w:sz="8" w:space="0"/>
                <w:shd w:val="clear" w:fill="FFFFFF"/>
                <w:lang w:val="en-US" w:eastAsia="zh-CN" w:bidi="ar"/>
              </w:rPr>
              <w:drawing>
                <wp:anchor distT="0" distB="0" distL="114300" distR="114300" simplePos="0" relativeHeight="251661312" behindDoc="0" locked="0" layoutInCell="1" allowOverlap="1">
                  <wp:simplePos x="0" y="0"/>
                  <wp:positionH relativeFrom="column">
                    <wp:posOffset>37465</wp:posOffset>
                  </wp:positionH>
                  <wp:positionV relativeFrom="paragraph">
                    <wp:posOffset>28575</wp:posOffset>
                  </wp:positionV>
                  <wp:extent cx="3296285" cy="6254115"/>
                  <wp:effectExtent l="0" t="0" r="0" b="0"/>
                  <wp:wrapNone/>
                  <wp:docPr id="106" name="Rectangle_5"/>
                  <wp:cNvGraphicFramePr/>
                  <a:graphic xmlns:a="http://schemas.openxmlformats.org/drawingml/2006/main">
                    <a:graphicData uri="http://schemas.openxmlformats.org/drawingml/2006/picture">
                      <pic:pic xmlns:pic="http://schemas.openxmlformats.org/drawingml/2006/picture">
                        <pic:nvPicPr>
                          <pic:cNvPr id="106" name="Rectangle_5"/>
                          <pic:cNvPicPr/>
                        </pic:nvPicPr>
                        <pic:blipFill>
                          <a:blip r:embed="rId5"/>
                          <a:stretch>
                            <a:fillRect/>
                          </a:stretch>
                        </pic:blipFill>
                        <pic:spPr>
                          <a:xfrm>
                            <a:off x="0" y="0"/>
                            <a:ext cx="3296285" cy="6254115"/>
                          </a:xfrm>
                          <a:prstGeom prst="rect">
                            <a:avLst/>
                          </a:prstGeom>
                          <a:noFill/>
                          <a:ln>
                            <a:noFill/>
                          </a:ln>
                        </pic:spPr>
                      </pic:pic>
                    </a:graphicData>
                  </a:graphic>
                </wp:anchor>
              </w:drawing>
            </w:r>
            <w:r>
              <w:rPr>
                <w:rFonts w:hint="eastAsia" w:ascii="宋体" w:hAnsi="宋体" w:eastAsia="宋体" w:cs="宋体"/>
                <w:i w:val="0"/>
                <w:iCs w:val="0"/>
                <w:color w:val="0000FF"/>
                <w:kern w:val="0"/>
                <w:sz w:val="18"/>
                <w:szCs w:val="18"/>
                <w:u w:val="none"/>
                <w:bdr w:val="single" w:color="000000" w:sz="8" w:space="0"/>
                <w:shd w:val="clear" w:fill="FFFFFF"/>
                <w:lang w:val="en-US" w:eastAsia="zh-CN" w:bidi="ar"/>
              </w:rPr>
              <w:drawing>
                <wp:anchor distT="0" distB="0" distL="114300" distR="114300" simplePos="0" relativeHeight="251661312" behindDoc="0" locked="0" layoutInCell="1" allowOverlap="1">
                  <wp:simplePos x="0" y="0"/>
                  <wp:positionH relativeFrom="column">
                    <wp:posOffset>3092450</wp:posOffset>
                  </wp:positionH>
                  <wp:positionV relativeFrom="paragraph">
                    <wp:posOffset>19050</wp:posOffset>
                  </wp:positionV>
                  <wp:extent cx="3622675" cy="6263640"/>
                  <wp:effectExtent l="0" t="0" r="15875" b="3810"/>
                  <wp:wrapNone/>
                  <wp:docPr id="107" name="Rectangle_5_SpCnt_1"/>
                  <wp:cNvGraphicFramePr/>
                  <a:graphic xmlns:a="http://schemas.openxmlformats.org/drawingml/2006/main">
                    <a:graphicData uri="http://schemas.openxmlformats.org/drawingml/2006/picture">
                      <pic:pic xmlns:pic="http://schemas.openxmlformats.org/drawingml/2006/picture">
                        <pic:nvPicPr>
                          <pic:cNvPr id="107" name="Rectangle_5_SpCnt_1"/>
                          <pic:cNvPicPr/>
                        </pic:nvPicPr>
                        <pic:blipFill>
                          <a:blip r:embed="rId6"/>
                          <a:stretch>
                            <a:fillRect/>
                          </a:stretch>
                        </pic:blipFill>
                        <pic:spPr>
                          <a:xfrm>
                            <a:off x="0" y="0"/>
                            <a:ext cx="3622675" cy="6263640"/>
                          </a:xfrm>
                          <a:prstGeom prst="rect">
                            <a:avLst/>
                          </a:prstGeom>
                          <a:noFill/>
                          <a:ln>
                            <a:noFill/>
                          </a:ln>
                        </pic:spPr>
                      </pic:pic>
                    </a:graphicData>
                  </a:graphic>
                </wp:anchor>
              </w:drawing>
            </w:r>
            <w:r>
              <w:rPr>
                <w:rFonts w:hint="eastAsia" w:ascii="宋体" w:hAnsi="宋体" w:eastAsia="宋体" w:cs="宋体"/>
                <w:i w:val="0"/>
                <w:iCs w:val="0"/>
                <w:color w:val="0000FF"/>
                <w:kern w:val="0"/>
                <w:sz w:val="18"/>
                <w:szCs w:val="18"/>
                <w:u w:val="none"/>
                <w:bdr w:val="single" w:color="000000" w:sz="8" w:space="0"/>
                <w:shd w:val="clear" w:fill="FFFFFF"/>
                <w:lang w:val="en-US" w:eastAsia="zh-CN" w:bidi="ar"/>
              </w:rPr>
              <w:drawing>
                <wp:anchor distT="0" distB="0" distL="114300" distR="114300" simplePos="0" relativeHeight="251661312" behindDoc="0" locked="0" layoutInCell="1" allowOverlap="1">
                  <wp:simplePos x="0" y="0"/>
                  <wp:positionH relativeFrom="column">
                    <wp:posOffset>3952240</wp:posOffset>
                  </wp:positionH>
                  <wp:positionV relativeFrom="paragraph">
                    <wp:posOffset>142875</wp:posOffset>
                  </wp:positionV>
                  <wp:extent cx="3239135" cy="6139815"/>
                  <wp:effectExtent l="0" t="0" r="0" b="0"/>
                  <wp:wrapNone/>
                  <wp:docPr id="108" name="Rectangle_6"/>
                  <wp:cNvGraphicFramePr/>
                  <a:graphic xmlns:a="http://schemas.openxmlformats.org/drawingml/2006/main">
                    <a:graphicData uri="http://schemas.openxmlformats.org/drawingml/2006/picture">
                      <pic:pic xmlns:pic="http://schemas.openxmlformats.org/drawingml/2006/picture">
                        <pic:nvPicPr>
                          <pic:cNvPr id="108" name="Rectangle_6"/>
                          <pic:cNvPicPr/>
                        </pic:nvPicPr>
                        <pic:blipFill>
                          <a:blip r:embed="rId7"/>
                          <a:stretch>
                            <a:fillRect/>
                          </a:stretch>
                        </pic:blipFill>
                        <pic:spPr>
                          <a:xfrm>
                            <a:off x="0" y="0"/>
                            <a:ext cx="3239135" cy="61398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11355" w:type="dxa"/>
            <w:gridSpan w:val="2"/>
            <w:vMerge w:val="continue"/>
            <w:tcBorders>
              <w:top w:val="nil"/>
              <w:left w:val="single" w:color="000000" w:sz="8" w:space="0"/>
              <w:bottom w:val="nil"/>
              <w:right w:val="nil"/>
            </w:tcBorders>
            <w:shd w:val="clear"/>
            <w:noWrap/>
            <w:vAlign w:val="bottom"/>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11355" w:type="dxa"/>
            <w:gridSpan w:val="2"/>
            <w:vMerge w:val="continue"/>
            <w:tcBorders>
              <w:top w:val="nil"/>
              <w:left w:val="single" w:color="000000" w:sz="8" w:space="0"/>
              <w:bottom w:val="nil"/>
              <w:right w:val="nil"/>
            </w:tcBorders>
            <w:shd w:val="clear"/>
            <w:noWrap/>
            <w:vAlign w:val="bottom"/>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11355" w:type="dxa"/>
            <w:gridSpan w:val="2"/>
            <w:vMerge w:val="continue"/>
            <w:tcBorders>
              <w:top w:val="nil"/>
              <w:left w:val="single" w:color="000000" w:sz="8" w:space="0"/>
              <w:bottom w:val="nil"/>
              <w:right w:val="nil"/>
            </w:tcBorders>
            <w:shd w:val="clear"/>
            <w:noWrap/>
            <w:vAlign w:val="bottom"/>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1355" w:type="dxa"/>
            <w:gridSpan w:val="2"/>
            <w:vMerge w:val="continue"/>
            <w:tcBorders>
              <w:top w:val="single" w:color="000000" w:sz="4" w:space="0"/>
              <w:left w:val="single" w:color="000000" w:sz="8" w:space="0"/>
              <w:bottom w:val="single" w:color="000000" w:sz="4" w:space="0"/>
              <w:right w:val="single" w:color="000000" w:sz="4" w:space="0"/>
            </w:tcBorders>
            <w:shd w:val="clear" w:color="auto" w:fill="99CC00"/>
            <w:noWrap/>
            <w:vAlign w:val="bottom"/>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355" w:type="dxa"/>
            <w:gridSpan w:val="2"/>
            <w:vMerge w:val="continue"/>
            <w:tcBorders>
              <w:top w:val="single" w:color="000000" w:sz="4" w:space="0"/>
              <w:left w:val="single" w:color="000000" w:sz="8" w:space="0"/>
              <w:bottom w:val="single" w:color="000000" w:sz="4" w:space="0"/>
              <w:right w:val="single" w:color="000000" w:sz="4" w:space="0"/>
            </w:tcBorders>
            <w:shd w:val="clear"/>
            <w:vAlign w:val="bottom"/>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355" w:type="dxa"/>
            <w:gridSpan w:val="2"/>
            <w:vMerge w:val="continue"/>
            <w:tcBorders>
              <w:top w:val="single" w:color="000000" w:sz="4" w:space="0"/>
              <w:left w:val="single" w:color="000000" w:sz="8" w:space="0"/>
              <w:bottom w:val="single" w:color="000000" w:sz="4" w:space="0"/>
              <w:right w:val="single" w:color="000000" w:sz="4" w:space="0"/>
            </w:tcBorders>
            <w:shd w:val="clear"/>
            <w:vAlign w:val="bottom"/>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355" w:type="dxa"/>
            <w:gridSpan w:val="2"/>
            <w:vMerge w:val="continue"/>
            <w:tcBorders>
              <w:top w:val="single" w:color="000000" w:sz="4" w:space="0"/>
              <w:left w:val="single" w:color="000000" w:sz="8" w:space="0"/>
              <w:bottom w:val="single" w:color="000000" w:sz="4" w:space="0"/>
              <w:right w:val="single" w:color="000000" w:sz="4" w:space="0"/>
            </w:tcBorders>
            <w:shd w:val="clear"/>
            <w:vAlign w:val="bottom"/>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355" w:type="dxa"/>
            <w:gridSpan w:val="2"/>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left"/>
              <w:textAlignment w:val="center"/>
            </w:pPr>
            <w:r>
              <w:rPr>
                <w:rFonts w:hint="eastAsia" w:ascii="微软雅黑" w:hAnsi="微软雅黑" w:eastAsia="微软雅黑" w:cs="微软雅黑"/>
                <w:b/>
                <w:bCs/>
                <w:i w:val="0"/>
                <w:iCs w:val="0"/>
                <w:color w:val="0000FF"/>
                <w:kern w:val="0"/>
                <w:sz w:val="24"/>
                <w:szCs w:val="24"/>
                <w:u w:val="none"/>
                <w:lang w:val="en-US" w:eastAsia="zh-CN" w:bidi="ar"/>
              </w:rPr>
              <w:t>讲师介绍：张老师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355" w:type="dxa"/>
            <w:gridSpan w:val="2"/>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left"/>
              <w:textAlignment w:val="center"/>
            </w:pPr>
            <w:r>
              <w:rPr>
                <w:rFonts w:hint="eastAsia" w:ascii="微软雅黑" w:hAnsi="微软雅黑" w:eastAsia="微软雅黑" w:cs="微软雅黑"/>
                <w:b/>
                <w:bCs/>
                <w:i w:val="0"/>
                <w:iCs w:val="0"/>
                <w:color w:val="000000"/>
                <w:kern w:val="0"/>
                <w:sz w:val="20"/>
                <w:szCs w:val="20"/>
                <w:u w:val="none"/>
                <w:lang w:val="en-US" w:eastAsia="zh-CN" w:bidi="ar"/>
              </w:rPr>
              <w:t>教育及资格认证：</w:t>
            </w:r>
            <w:r>
              <w:rPr>
                <w:rFonts w:hint="eastAsia" w:ascii="微软雅黑" w:hAnsi="微软雅黑" w:eastAsia="微软雅黑" w:cs="微软雅黑"/>
                <w:i w:val="0"/>
                <w:iCs w:val="0"/>
                <w:color w:val="000000"/>
                <w:kern w:val="0"/>
                <w:sz w:val="20"/>
                <w:szCs w:val="20"/>
                <w:u w:val="none"/>
                <w:lang w:val="en-US" w:eastAsia="zh-CN" w:bidi="ar"/>
              </w:rPr>
              <w:t xml:space="preserve">                                                                                                                                                                                        冠卓顾问高级讲师，工学博士，高级工程师                                                                                                                                             </w:t>
            </w:r>
            <w:r>
              <w:rPr>
                <w:rFonts w:hint="eastAsia" w:ascii="微软雅黑" w:hAnsi="微软雅黑" w:eastAsia="微软雅黑" w:cs="微软雅黑"/>
                <w:b/>
                <w:bCs/>
                <w:i w:val="0"/>
                <w:iCs w:val="0"/>
                <w:color w:val="000000"/>
                <w:kern w:val="0"/>
                <w:sz w:val="20"/>
                <w:szCs w:val="20"/>
                <w:u w:val="none"/>
                <w:lang w:val="en-US" w:eastAsia="zh-CN" w:bidi="ar"/>
              </w:rPr>
              <w:t>讲师经历与专长：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现任某大型中外合资企业副总经理。曾任某大型电子元器件公司工场长、技术部、制造部、设备部经理，主要从事生产管理和制造生产用的非标设备、模具的设计、制造工作，及企业管理改善的推进工作。张先生掌握现代高科技制造业的生产、设备、技术、品质、人员管理等方面的知识，并具有丰富的实务操作经验。多次赴瑞士、日本、韩国研修生产、设备、机械制造和品质管理，并实际参加麦肯锡公司精益生产活动和成功推行TPM活动，对现代管理理念和中国的生产管理实际的结合有自己的见解和心得，善于发现现场的细节问题，并提出合理的改善方向；                                      张老师擅长的课程有：TPM系列课程、设备预知维修、OEE设备综合高效率提升、设备预防性维修、设备状态监测等课程</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培训风格与客户：</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张老师善于运用互动的授课方式和丰富的实例，提高学员的积极性； 系统解决问题的观点，使学员能将上课学到的知识运用到企业实际工作中，张老师培训过的客户有：日立电气、日立电梯、通力电梯（中国）、大金空调、西门子电气、上柴股份、纽曼泰克（无锡）、高力（江阴）、ABB合肥、NEC(中国)、和晶科技、格兰富水泵、 东陶、 江苏开德、利莱森玛电机科技、圣班戈磨料、法尔胜光子、微密科技、苏瑞普科技、布勒机械、实达精密不锈钢、艾默生传导系统、爱立信熊猫、宁波信虹精密机械、思源电气、NSK昆山、凌云股份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拜尔作物科学、日之升新技术、妮维雅、嘉里特种化学、优耐得、艾瑞生物、宁波乐金、江汉石油、大亚科技、三爱富新材料、戴铂新材料、玛努利液压、威孚环保、克鲁勃润滑、阿科玛高远、上海联景、苏尔寿、奥麒化工、瑞好聚合物、三菱材料（南通）、阿斯利康制药、西安杨森制药、柯惠医疗、第一三共制药、中智药业、佰加壹医药、旭化成医疗器械、微创医疗器械、上海顶誉、常州方圆制药、湖南中烟工业、安琪酵母、山东佳美、百事（中国）、光明乳业、嘉里食品、燕京啤酒、民生药业集团、福娃集团、一汽集团、联合汽车（博世）、腾龙汽车、贺利氏催化器、东风（十堰）、三花汽车控制系统、宜昌达门、相信制动系统、水星海事、劳伦茨橡胶制品、众力汽车部件、阿克苏诺贝尔、小松机械、现代摩比斯、达南美克、马瑞利动力系统、韩泰轮胎、卡斯马汽车系统等</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11355" w:type="dxa"/>
            <w:gridSpan w:val="2"/>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left"/>
              <w:textAlignment w:val="center"/>
            </w:pPr>
            <w:r>
              <w:rPr>
                <w:rFonts w:hint="eastAsia" w:ascii="微软雅黑" w:hAnsi="微软雅黑" w:eastAsia="微软雅黑" w:cs="微软雅黑"/>
                <w:b/>
                <w:bCs/>
                <w:i w:val="0"/>
                <w:iCs w:val="0"/>
                <w:color w:val="0000FF"/>
                <w:kern w:val="0"/>
                <w:sz w:val="24"/>
                <w:szCs w:val="24"/>
                <w:u w:val="none"/>
                <w:lang w:val="en-US" w:eastAsia="zh-CN" w:bidi="ar"/>
              </w:rPr>
              <w:t>讲师介绍——柳老师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355" w:type="dxa"/>
            <w:gridSpan w:val="2"/>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spacing w:after="200" w:afterAutospacing="0"/>
              <w:jc w:val="left"/>
              <w:textAlignment w:val="center"/>
            </w:pPr>
            <w:r>
              <w:rPr>
                <w:rFonts w:hint="eastAsia" w:ascii="宋体" w:hAnsi="宋体" w:eastAsia="宋体" w:cs="宋体"/>
                <w:b/>
                <w:bCs/>
                <w:i w:val="0"/>
                <w:iCs w:val="0"/>
                <w:color w:val="0000FF"/>
                <w:kern w:val="0"/>
                <w:sz w:val="24"/>
                <w:szCs w:val="24"/>
                <w:u w:val="none"/>
                <w:lang w:val="en-US" w:eastAsia="zh-CN" w:bidi="ar"/>
              </w:rPr>
              <w:br w:type="textWrapping"/>
            </w:r>
            <w:r>
              <w:rPr>
                <w:rFonts w:hint="eastAsia" w:ascii="宋体" w:hAnsi="宋体" w:eastAsia="宋体" w:cs="宋体"/>
                <w:b/>
                <w:bCs/>
                <w:i w:val="0"/>
                <w:iCs w:val="0"/>
                <w:color w:val="0000FF"/>
                <w:kern w:val="0"/>
                <w:sz w:val="24"/>
                <w:szCs w:val="24"/>
                <w:u w:val="none"/>
                <w:lang w:val="en-US" w:eastAsia="zh-CN" w:bidi="ar"/>
              </w:rPr>
              <w:t>教育及资格认证：</w:t>
            </w:r>
            <w:r>
              <w:rPr>
                <w:rFonts w:hint="eastAsia" w:ascii="微软雅黑" w:hAnsi="微软雅黑" w:eastAsia="微软雅黑" w:cs="微软雅黑"/>
                <w:i w:val="0"/>
                <w:iCs w:val="0"/>
                <w:color w:val="0000FF"/>
                <w:kern w:val="0"/>
                <w:sz w:val="20"/>
                <w:szCs w:val="20"/>
                <w:u w:val="none"/>
                <w:lang w:val="en-US" w:eastAsia="zh-CN" w:bidi="ar"/>
              </w:rPr>
              <w:br w:type="textWrapping"/>
            </w:r>
            <w:r>
              <w:rPr>
                <w:rFonts w:hint="eastAsia" w:ascii="微软雅黑" w:hAnsi="微软雅黑" w:eastAsia="微软雅黑" w:cs="微软雅黑"/>
                <w:i w:val="0"/>
                <w:iCs w:val="0"/>
                <w:color w:val="0000FF"/>
                <w:kern w:val="0"/>
                <w:sz w:val="20"/>
                <w:szCs w:val="20"/>
                <w:u w:val="none"/>
                <w:lang w:val="en-US" w:eastAsia="zh-CN" w:bidi="ar"/>
              </w:rPr>
              <w:t xml:space="preserve">    </w:t>
            </w:r>
            <w:r>
              <w:rPr>
                <w:rFonts w:hint="eastAsia" w:ascii="微软雅黑" w:hAnsi="微软雅黑" w:eastAsia="微软雅黑" w:cs="微软雅黑"/>
                <w:i w:val="0"/>
                <w:iCs w:val="0"/>
                <w:color w:val="000000"/>
                <w:kern w:val="0"/>
                <w:sz w:val="20"/>
                <w:szCs w:val="20"/>
                <w:u w:val="none"/>
                <w:lang w:val="en-US" w:eastAsia="zh-CN" w:bidi="ar"/>
              </w:rPr>
              <w:t>冠卓顾问TPM高级讲师</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    人社部注册高级企业培训师</w:t>
            </w:r>
            <w:r>
              <w:rPr>
                <w:rFonts w:hint="eastAsia" w:ascii="微软雅黑" w:hAnsi="微软雅黑" w:eastAsia="微软雅黑" w:cs="微软雅黑"/>
                <w:i w:val="0"/>
                <w:iCs w:val="0"/>
                <w:color w:val="0000FF"/>
                <w:kern w:val="0"/>
                <w:sz w:val="20"/>
                <w:szCs w:val="20"/>
                <w:u w:val="none"/>
                <w:lang w:val="en-US" w:eastAsia="zh-CN" w:bidi="ar"/>
              </w:rPr>
              <w:br w:type="textWrapping"/>
            </w:r>
            <w:r>
              <w:rPr>
                <w:rFonts w:hint="eastAsia" w:ascii="宋体" w:hAnsi="宋体" w:eastAsia="宋体" w:cs="宋体"/>
                <w:b/>
                <w:bCs/>
                <w:i w:val="0"/>
                <w:iCs w:val="0"/>
                <w:color w:val="0000FF"/>
                <w:kern w:val="0"/>
                <w:sz w:val="24"/>
                <w:szCs w:val="24"/>
                <w:u w:val="none"/>
                <w:lang w:val="en-US" w:eastAsia="zh-CN" w:bidi="ar"/>
              </w:rPr>
              <w:t>经历与专长：</w:t>
            </w:r>
            <w:r>
              <w:rPr>
                <w:rFonts w:hint="eastAsia" w:ascii="微软雅黑" w:hAnsi="微软雅黑" w:eastAsia="微软雅黑" w:cs="微软雅黑"/>
                <w:i w:val="0"/>
                <w:iCs w:val="0"/>
                <w:color w:val="0000FF"/>
                <w:kern w:val="0"/>
                <w:sz w:val="20"/>
                <w:szCs w:val="20"/>
                <w:u w:val="none"/>
                <w:lang w:val="en-US" w:eastAsia="zh-CN" w:bidi="ar"/>
              </w:rPr>
              <w:br w:type="textWrapping"/>
            </w:r>
            <w:r>
              <w:rPr>
                <w:rFonts w:hint="eastAsia" w:ascii="微软雅黑" w:hAnsi="微软雅黑" w:eastAsia="微软雅黑" w:cs="微软雅黑"/>
                <w:i w:val="0"/>
                <w:iCs w:val="0"/>
                <w:color w:val="0000FF"/>
                <w:kern w:val="0"/>
                <w:sz w:val="20"/>
                <w:szCs w:val="20"/>
                <w:u w:val="none"/>
                <w:lang w:val="en-US" w:eastAsia="zh-CN" w:bidi="ar"/>
              </w:rPr>
              <w:t xml:space="preserve">    </w:t>
            </w:r>
            <w:r>
              <w:rPr>
                <w:rFonts w:hint="eastAsia" w:ascii="微软雅黑" w:hAnsi="微软雅黑" w:eastAsia="微软雅黑" w:cs="微软雅黑"/>
                <w:i w:val="0"/>
                <w:iCs w:val="0"/>
                <w:color w:val="000000"/>
                <w:kern w:val="0"/>
                <w:sz w:val="20"/>
                <w:szCs w:val="20"/>
                <w:u w:val="none"/>
                <w:lang w:val="en-US" w:eastAsia="zh-CN" w:bidi="ar"/>
              </w:rPr>
              <w:t>柳老师曾任日本松下电器设备部经理、美资博能特公司持续改善部经理，从事生产及设备管理多年，并一直从事TPM持续改善推广工作，曾赴日本系统接受过TPM培训。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5年以上辅导工厂推行5S、TPM改善与培养人员的经验，辅导过近30家企业60多个项目，涵盖5S、效率改善、TPM、质量改善等方面。</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柳老师擅长的课程有：5S与目视化、TPM、TPM-OPL（单点课程）、班组现场改善等课程</w:t>
            </w:r>
            <w:r>
              <w:rPr>
                <w:rFonts w:hint="eastAsia" w:ascii="微软雅黑" w:hAnsi="微软雅黑" w:eastAsia="微软雅黑" w:cs="微软雅黑"/>
                <w:i w:val="0"/>
                <w:iCs w:val="0"/>
                <w:color w:val="0000FF"/>
                <w:kern w:val="0"/>
                <w:sz w:val="20"/>
                <w:szCs w:val="20"/>
                <w:u w:val="none"/>
                <w:lang w:val="en-US" w:eastAsia="zh-CN" w:bidi="ar"/>
              </w:rPr>
              <w:br w:type="textWrapping"/>
            </w:r>
            <w:r>
              <w:rPr>
                <w:rFonts w:hint="eastAsia" w:ascii="宋体" w:hAnsi="宋体" w:eastAsia="宋体" w:cs="宋体"/>
                <w:b/>
                <w:bCs/>
                <w:i w:val="0"/>
                <w:iCs w:val="0"/>
                <w:color w:val="0000FF"/>
                <w:kern w:val="0"/>
                <w:sz w:val="24"/>
                <w:szCs w:val="24"/>
                <w:u w:val="none"/>
                <w:lang w:val="en-US" w:eastAsia="zh-CN" w:bidi="ar"/>
              </w:rPr>
              <w:t>咨询业绩：</w:t>
            </w:r>
            <w:r>
              <w:rPr>
                <w:rFonts w:hint="eastAsia" w:ascii="微软雅黑" w:hAnsi="微软雅黑" w:eastAsia="微软雅黑" w:cs="微软雅黑"/>
                <w:i w:val="0"/>
                <w:iCs w:val="0"/>
                <w:color w:val="0000FF"/>
                <w:kern w:val="0"/>
                <w:sz w:val="20"/>
                <w:szCs w:val="20"/>
                <w:u w:val="none"/>
                <w:lang w:val="en-US" w:eastAsia="zh-CN" w:bidi="ar"/>
              </w:rPr>
              <w:br w:type="textWrapping"/>
            </w:r>
            <w:r>
              <w:rPr>
                <w:rFonts w:hint="eastAsia" w:ascii="微软雅黑" w:hAnsi="微软雅黑" w:eastAsia="微软雅黑" w:cs="微软雅黑"/>
                <w:i w:val="0"/>
                <w:iCs w:val="0"/>
                <w:color w:val="0000FF"/>
                <w:kern w:val="0"/>
                <w:sz w:val="20"/>
                <w:szCs w:val="20"/>
                <w:u w:val="none"/>
                <w:lang w:val="en-US" w:eastAsia="zh-CN" w:bidi="ar"/>
              </w:rPr>
              <w:t xml:space="preserve">    </w:t>
            </w:r>
            <w:r>
              <w:rPr>
                <w:rFonts w:hint="eastAsia" w:ascii="微软雅黑" w:hAnsi="微软雅黑" w:eastAsia="微软雅黑" w:cs="微软雅黑"/>
                <w:i w:val="0"/>
                <w:iCs w:val="0"/>
                <w:color w:val="000000"/>
                <w:kern w:val="0"/>
                <w:sz w:val="20"/>
                <w:szCs w:val="20"/>
                <w:u w:val="none"/>
                <w:lang w:val="en-US" w:eastAsia="zh-CN" w:bidi="ar"/>
              </w:rPr>
              <w:t>全程参与国内某铝业公司精益TPM项目，通过柳老师的驻厂辅导项目，设备故障率下降30%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柳老师主导的深圳某制药企业现场管理项目，除了关注指标的变化，更关注人员的培养，在TPM项目中，通过柳老师的培训辅导跟进，人均单点课数量达1.2件，改善件数500件</w:t>
            </w:r>
            <w:r>
              <w:rPr>
                <w:rFonts w:hint="eastAsia" w:ascii="微软雅黑" w:hAnsi="微软雅黑" w:eastAsia="微软雅黑" w:cs="微软雅黑"/>
                <w:i w:val="0"/>
                <w:iCs w:val="0"/>
                <w:color w:val="0000FF"/>
                <w:kern w:val="0"/>
                <w:sz w:val="20"/>
                <w:szCs w:val="20"/>
                <w:u w:val="none"/>
                <w:lang w:val="en-US" w:eastAsia="zh-CN" w:bidi="ar"/>
              </w:rPr>
              <w:br w:type="textWrapping"/>
            </w:r>
            <w:r>
              <w:rPr>
                <w:rFonts w:hint="eastAsia" w:ascii="宋体" w:hAnsi="宋体" w:eastAsia="宋体" w:cs="宋体"/>
                <w:b/>
                <w:bCs/>
                <w:i w:val="0"/>
                <w:iCs w:val="0"/>
                <w:color w:val="0000FF"/>
                <w:kern w:val="0"/>
                <w:sz w:val="24"/>
                <w:szCs w:val="24"/>
                <w:u w:val="none"/>
                <w:lang w:val="en-US" w:eastAsia="zh-CN" w:bidi="ar"/>
              </w:rPr>
              <w:t>服务过的客户：</w:t>
            </w:r>
            <w:r>
              <w:rPr>
                <w:rFonts w:hint="eastAsia" w:ascii="微软雅黑" w:hAnsi="微软雅黑" w:eastAsia="微软雅黑" w:cs="微软雅黑"/>
                <w:i w:val="0"/>
                <w:iCs w:val="0"/>
                <w:color w:val="0000FF"/>
                <w:kern w:val="0"/>
                <w:sz w:val="20"/>
                <w:szCs w:val="20"/>
                <w:u w:val="none"/>
                <w:lang w:val="en-US" w:eastAsia="zh-CN" w:bidi="ar"/>
              </w:rPr>
              <w:br w:type="textWrapping"/>
            </w:r>
            <w:r>
              <w:rPr>
                <w:rFonts w:hint="eastAsia" w:ascii="微软雅黑" w:hAnsi="微软雅黑" w:eastAsia="微软雅黑" w:cs="微软雅黑"/>
                <w:i w:val="0"/>
                <w:iCs w:val="0"/>
                <w:color w:val="0000FF"/>
                <w:kern w:val="0"/>
                <w:sz w:val="20"/>
                <w:szCs w:val="20"/>
                <w:u w:val="none"/>
                <w:lang w:val="en-US" w:eastAsia="zh-CN" w:bidi="ar"/>
              </w:rPr>
              <w:t xml:space="preserve">    </w:t>
            </w:r>
            <w:r>
              <w:rPr>
                <w:rFonts w:hint="eastAsia" w:ascii="微软雅黑" w:hAnsi="微软雅黑" w:eastAsia="微软雅黑" w:cs="微软雅黑"/>
                <w:i w:val="0"/>
                <w:iCs w:val="0"/>
                <w:color w:val="000000"/>
                <w:kern w:val="0"/>
                <w:sz w:val="20"/>
                <w:szCs w:val="20"/>
                <w:u w:val="none"/>
                <w:lang w:val="en-US" w:eastAsia="zh-CN" w:bidi="ar"/>
              </w:rPr>
              <w:t>中烟集团下属6家工厂（陕西、云南、广东、江苏等）、中海油（伊拉克鲁迈拉、哈法亚项目、哈里伯顿项目、阿尔比尔项目、绿洲项目）、鞍钢矿业（大孤山、齐大山选矿厂、鞍钢矿业鞍千矿、东鞍山、东烧厂）、福州大北农生物科技、华润三九、华润九新制药、世林冶金设备、韩国乐星机械等知名企业</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FF"/>
                <w:kern w:val="0"/>
                <w:sz w:val="20"/>
                <w:szCs w:val="20"/>
                <w:u w:val="none"/>
                <w:lang w:val="en-US" w:eastAsia="zh-CN" w:bidi="ar"/>
              </w:rPr>
              <w:br w:type="textWrapping"/>
            </w:r>
            <w:r>
              <w:rPr>
                <w:rFonts w:hint="eastAsia" w:ascii="宋体" w:hAnsi="宋体" w:eastAsia="宋体" w:cs="宋体"/>
                <w:b/>
                <w:bCs/>
                <w:i w:val="0"/>
                <w:iCs w:val="0"/>
                <w:color w:val="0000FF"/>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 w:type="dxa"/>
            <w:tcBorders>
              <w:top w:val="single" w:color="000000" w:sz="4" w:space="0"/>
              <w:left w:val="single" w:color="000000" w:sz="8" w:space="0"/>
              <w:bottom w:val="single" w:color="000000" w:sz="4" w:space="0"/>
              <w:right w:val="single" w:color="000000" w:sz="4" w:space="0"/>
            </w:tcBorders>
            <w:shd w:val="clear"/>
            <w:vAlign w:val="bottom"/>
          </w:tcPr>
          <w:p/>
        </w:tc>
        <w:tc>
          <w:tcPr>
            <w:tcW w:w="11306" w:type="dxa"/>
            <w:tcBorders>
              <w:top w:val="single" w:color="000000" w:sz="4" w:space="0"/>
              <w:left w:val="single" w:color="000000" w:sz="8" w:space="0"/>
              <w:bottom w:val="single" w:color="000000" w:sz="4" w:space="0"/>
              <w:right w:val="single" w:color="000000" w:sz="4" w:space="0"/>
            </w:tcBorders>
            <w:shd w:val="clear"/>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9" w:type="dxa"/>
            <w:tcBorders>
              <w:top w:val="single" w:color="000000" w:sz="4" w:space="0"/>
              <w:left w:val="single" w:color="000000" w:sz="8" w:space="0"/>
              <w:bottom w:val="single" w:color="000000" w:sz="4" w:space="0"/>
              <w:right w:val="single" w:color="000000" w:sz="4" w:space="0"/>
            </w:tcBorders>
            <w:shd w:val="clear"/>
            <w:vAlign w:val="bottom"/>
          </w:tcPr>
          <w:p/>
        </w:tc>
        <w:tc>
          <w:tcPr>
            <w:tcW w:w="11306" w:type="dxa"/>
            <w:tcBorders>
              <w:top w:val="single" w:color="000000" w:sz="4" w:space="0"/>
              <w:left w:val="single" w:color="000000" w:sz="8" w:space="0"/>
              <w:bottom w:val="single" w:color="000000" w:sz="4" w:space="0"/>
              <w:right w:val="single" w:color="000000" w:sz="4" w:space="0"/>
            </w:tcBorders>
            <w:shd w:val="clear"/>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9" w:type="dxa"/>
            <w:tcBorders>
              <w:top w:val="single" w:color="000000" w:sz="4" w:space="0"/>
              <w:left w:val="single" w:color="000000" w:sz="8" w:space="0"/>
              <w:bottom w:val="single" w:color="000000" w:sz="4" w:space="0"/>
              <w:right w:val="single" w:color="000000" w:sz="4" w:space="0"/>
            </w:tcBorders>
            <w:shd w:val="clear"/>
            <w:vAlign w:val="bottom"/>
          </w:tcPr>
          <w:p/>
        </w:tc>
        <w:tc>
          <w:tcPr>
            <w:tcW w:w="11306" w:type="dxa"/>
            <w:tcBorders>
              <w:top w:val="single" w:color="000000" w:sz="4" w:space="0"/>
              <w:left w:val="single" w:color="000000" w:sz="8" w:space="0"/>
              <w:bottom w:val="single" w:color="000000" w:sz="4" w:space="0"/>
              <w:right w:val="single" w:color="000000" w:sz="4" w:space="0"/>
            </w:tcBorders>
            <w:shd w:val="clear"/>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355" w:type="dxa"/>
            <w:gridSpan w:val="2"/>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left"/>
              <w:textAlignment w:val="center"/>
            </w:pPr>
            <w:r>
              <w:rPr>
                <w:rFonts w:hint="eastAsia" w:ascii="微软雅黑" w:hAnsi="微软雅黑" w:eastAsia="微软雅黑" w:cs="微软雅黑"/>
                <w:b/>
                <w:bCs/>
                <w:i w:val="0"/>
                <w:iCs w:val="0"/>
                <w:color w:val="0000FF"/>
                <w:kern w:val="0"/>
                <w:sz w:val="24"/>
                <w:szCs w:val="24"/>
                <w:u w:val="none"/>
                <w:lang w:val="en-US" w:eastAsia="zh-CN" w:bidi="ar"/>
              </w:rPr>
              <w:t>讲师介绍：陈老师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2" w:hRule="atLeast"/>
        </w:trPr>
        <w:tc>
          <w:tcPr>
            <w:tcW w:w="11355" w:type="dxa"/>
            <w:gridSpan w:val="2"/>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left"/>
              <w:textAlignment w:val="center"/>
            </w:pPr>
            <w:r>
              <w:rPr>
                <w:rFonts w:hint="eastAsia" w:ascii="宋体" w:hAnsi="宋体" w:eastAsia="宋体" w:cs="宋体"/>
                <w:b/>
                <w:bCs/>
                <w:i w:val="0"/>
                <w:iCs w:val="0"/>
                <w:color w:val="0000FF"/>
                <w:kern w:val="0"/>
                <w:sz w:val="20"/>
                <w:szCs w:val="20"/>
                <w:u w:val="none"/>
                <w:bdr w:val="single" w:color="000000" w:sz="8"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7266940" cy="3498850"/>
                  <wp:effectExtent l="0" t="0" r="10160" b="6350"/>
                  <wp:wrapNone/>
                  <wp:docPr id="84" name="TextBox_3"/>
                  <wp:cNvGraphicFramePr/>
                  <a:graphic xmlns:a="http://schemas.openxmlformats.org/drawingml/2006/main">
                    <a:graphicData uri="http://schemas.openxmlformats.org/drawingml/2006/picture">
                      <pic:pic xmlns:pic="http://schemas.openxmlformats.org/drawingml/2006/picture">
                        <pic:nvPicPr>
                          <pic:cNvPr id="84" name="TextBox_3"/>
                          <pic:cNvPicPr/>
                        </pic:nvPicPr>
                        <pic:blipFill>
                          <a:blip r:embed="rId8"/>
                          <a:stretch>
                            <a:fillRect/>
                          </a:stretch>
                        </pic:blipFill>
                        <pic:spPr>
                          <a:xfrm>
                            <a:off x="0" y="0"/>
                            <a:ext cx="7266940" cy="34988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355" w:type="dxa"/>
            <w:gridSpan w:val="2"/>
            <w:tcBorders>
              <w:top w:val="nil"/>
              <w:left w:val="nil"/>
              <w:bottom w:val="nil"/>
              <w:right w:val="nil"/>
            </w:tcBorders>
            <w:shd w:val="clear"/>
            <w:noWrap/>
            <w:vAlign w:val="center"/>
          </w:tcPr>
          <w:p>
            <w:pPr>
              <w:keepNext w:val="0"/>
              <w:keepLines w:val="0"/>
              <w:widowControl/>
              <w:suppressLineNumbers w:val="0"/>
              <w:jc w:val="left"/>
              <w:textAlignment w:val="center"/>
            </w:pPr>
            <w:r>
              <w:rPr>
                <w:rFonts w:hint="eastAsia" w:ascii="微软雅黑" w:hAnsi="微软雅黑" w:eastAsia="微软雅黑" w:cs="微软雅黑"/>
                <w:b/>
                <w:bCs/>
                <w:i w:val="0"/>
                <w:iCs w:val="0"/>
                <w:color w:val="0000FF"/>
                <w:kern w:val="0"/>
                <w:sz w:val="24"/>
                <w:szCs w:val="24"/>
                <w:u w:val="none"/>
                <w:lang w:val="en-US" w:eastAsia="zh-CN" w:bidi="ar"/>
              </w:rPr>
              <w:t>授课对象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355" w:type="dxa"/>
            <w:gridSpan w:val="2"/>
            <w:tcBorders>
              <w:top w:val="nil"/>
              <w:left w:val="nil"/>
              <w:bottom w:val="nil"/>
              <w:right w:val="nil"/>
            </w:tcBorders>
            <w:shd w:val="clear"/>
            <w:noWrap/>
            <w:vAlign w:val="center"/>
          </w:tcPr>
          <w:p>
            <w:pPr>
              <w:keepNext w:val="0"/>
              <w:keepLines w:val="0"/>
              <w:widowControl/>
              <w:suppressLineNumbers w:val="0"/>
              <w:jc w:val="left"/>
              <w:textAlignment w:val="center"/>
            </w:pPr>
            <w:r>
              <w:rPr>
                <w:rFonts w:hint="eastAsia" w:ascii="微软雅黑" w:hAnsi="微软雅黑" w:eastAsia="微软雅黑" w:cs="微软雅黑"/>
                <w:i w:val="0"/>
                <w:iCs w:val="0"/>
                <w:color w:val="000000"/>
                <w:kern w:val="0"/>
                <w:sz w:val="20"/>
                <w:szCs w:val="20"/>
                <w:u w:val="none"/>
                <w:lang w:val="en-US" w:eastAsia="zh-CN" w:bidi="ar"/>
              </w:rPr>
              <w:t xml:space="preserve">企业内部设备管理的管理人员（生产, 设备经理; 生产, 设备主管领班和班组长; 设备工程师和维护员等以及公司生产部门各级相关人员）。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0000000000000000000"/>
    <w:charset w:val="00"/>
    <w:family w:val="auto"/>
    <w:pitch w:val="default"/>
    <w:sig w:usb0="00000000" w:usb1="00000000" w:usb2="00000000" w:usb3="00000000" w:csb0="00000000" w:csb1="00000000"/>
  </w:font>
  <w:font w:name="Genev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MTlhN2U1ZDIxM2QwYjBlYTgxYzAyYTQ1Yzk5MjQifQ=="/>
  </w:docVars>
  <w:rsids>
    <w:rsidRoot w:val="22B43196"/>
    <w:rsid w:val="018274A4"/>
    <w:rsid w:val="02B01E88"/>
    <w:rsid w:val="02FF699A"/>
    <w:rsid w:val="032D0A75"/>
    <w:rsid w:val="0547340E"/>
    <w:rsid w:val="05C2407D"/>
    <w:rsid w:val="07203AC8"/>
    <w:rsid w:val="07883BE7"/>
    <w:rsid w:val="0CB97A5E"/>
    <w:rsid w:val="0E776A8E"/>
    <w:rsid w:val="10524FFB"/>
    <w:rsid w:val="20C52DD8"/>
    <w:rsid w:val="22B43196"/>
    <w:rsid w:val="25FB7DFA"/>
    <w:rsid w:val="293B561A"/>
    <w:rsid w:val="2E714B25"/>
    <w:rsid w:val="358257FA"/>
    <w:rsid w:val="38F21F6F"/>
    <w:rsid w:val="3D446905"/>
    <w:rsid w:val="45370B90"/>
    <w:rsid w:val="481D7ECC"/>
    <w:rsid w:val="4AAD05E2"/>
    <w:rsid w:val="4E99164D"/>
    <w:rsid w:val="56A10D2B"/>
    <w:rsid w:val="581549CD"/>
    <w:rsid w:val="5F2E7EEE"/>
    <w:rsid w:val="67DF4D46"/>
    <w:rsid w:val="681F3395"/>
    <w:rsid w:val="6B0E7E3B"/>
    <w:rsid w:val="6B880C18"/>
    <w:rsid w:val="6F884CD6"/>
    <w:rsid w:val="6FE22F1F"/>
    <w:rsid w:val="717A6225"/>
    <w:rsid w:val="723E2357"/>
    <w:rsid w:val="73E23154"/>
    <w:rsid w:val="767F2854"/>
    <w:rsid w:val="78B21E46"/>
    <w:rsid w:val="7AF95E48"/>
    <w:rsid w:val="7BF02229"/>
    <w:rsid w:val="7D07273E"/>
    <w:rsid w:val="7D764B72"/>
    <w:rsid w:val="7ED7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61"/>
    <w:basedOn w:val="5"/>
    <w:qFormat/>
    <w:uiPriority w:val="0"/>
    <w:rPr>
      <w:rFonts w:hint="eastAsia" w:ascii="微软雅黑" w:hAnsi="微软雅黑" w:eastAsia="微软雅黑" w:cs="微软雅黑"/>
      <w:color w:val="000000"/>
      <w:sz w:val="20"/>
      <w:szCs w:val="20"/>
      <w:u w:val="none"/>
    </w:rPr>
  </w:style>
  <w:style w:type="character" w:customStyle="1" w:styleId="7">
    <w:name w:val="font71"/>
    <w:basedOn w:val="5"/>
    <w:uiPriority w:val="0"/>
    <w:rPr>
      <w:rFonts w:ascii="Wingdings 2" w:hAnsi="Wingdings 2" w:eastAsia="Wingdings 2" w:cs="Wingdings 2"/>
      <w:color w:val="000000"/>
      <w:sz w:val="20"/>
      <w:szCs w:val="20"/>
      <w:u w:val="none"/>
    </w:rPr>
  </w:style>
  <w:style w:type="character" w:customStyle="1" w:styleId="8">
    <w:name w:val="font81"/>
    <w:basedOn w:val="5"/>
    <w:qFormat/>
    <w:uiPriority w:val="0"/>
    <w:rPr>
      <w:rFonts w:hint="eastAsia" w:ascii="微软雅黑" w:hAnsi="微软雅黑" w:eastAsia="微软雅黑" w:cs="微软雅黑"/>
      <w:color w:val="000000"/>
      <w:sz w:val="20"/>
      <w:szCs w:val="20"/>
      <w:u w:val="none"/>
    </w:rPr>
  </w:style>
  <w:style w:type="character" w:customStyle="1" w:styleId="9">
    <w:name w:val="font21"/>
    <w:basedOn w:val="5"/>
    <w:qFormat/>
    <w:uiPriority w:val="0"/>
    <w:rPr>
      <w:rFonts w:hint="eastAsia" w:ascii="微软雅黑" w:hAnsi="微软雅黑" w:eastAsia="微软雅黑" w:cs="微软雅黑"/>
      <w:color w:val="000000"/>
      <w:sz w:val="20"/>
      <w:szCs w:val="20"/>
      <w:u w:val="none"/>
    </w:rPr>
  </w:style>
  <w:style w:type="character" w:customStyle="1" w:styleId="10">
    <w:name w:val="font101"/>
    <w:basedOn w:val="5"/>
    <w:uiPriority w:val="0"/>
    <w:rPr>
      <w:rFonts w:hint="eastAsia" w:ascii="微软雅黑" w:hAnsi="微软雅黑" w:eastAsia="微软雅黑" w:cs="微软雅黑"/>
      <w:color w:val="000000"/>
      <w:sz w:val="20"/>
      <w:szCs w:val="20"/>
      <w:u w:val="none"/>
    </w:rPr>
  </w:style>
  <w:style w:type="character" w:customStyle="1" w:styleId="11">
    <w:name w:val="font41"/>
    <w:basedOn w:val="5"/>
    <w:uiPriority w:val="0"/>
    <w:rPr>
      <w:rFonts w:hint="default" w:ascii="Symbol" w:hAnsi="Symbol" w:cs="Symbol"/>
      <w:color w:val="000000"/>
      <w:sz w:val="20"/>
      <w:szCs w:val="20"/>
      <w:u w:val="none"/>
    </w:rPr>
  </w:style>
  <w:style w:type="character" w:customStyle="1" w:styleId="12">
    <w:name w:val="font91"/>
    <w:basedOn w:val="5"/>
    <w:qFormat/>
    <w:uiPriority w:val="0"/>
    <w:rPr>
      <w:rFonts w:ascii="Wingdings 2" w:hAnsi="Wingdings 2" w:eastAsia="Wingdings 2" w:cs="Wingdings 2"/>
      <w:b/>
      <w:bCs/>
      <w:color w:val="000000"/>
      <w:sz w:val="20"/>
      <w:szCs w:val="20"/>
      <w:u w:val="none"/>
    </w:rPr>
  </w:style>
  <w:style w:type="character" w:customStyle="1" w:styleId="13">
    <w:name w:val="font31"/>
    <w:basedOn w:val="5"/>
    <w:uiPriority w:val="0"/>
    <w:rPr>
      <w:rFonts w:ascii="Symbol" w:hAnsi="Symbol" w:cs="Symbol"/>
      <w:color w:val="000000"/>
      <w:sz w:val="20"/>
      <w:szCs w:val="20"/>
      <w:u w:val="none"/>
    </w:rPr>
  </w:style>
  <w:style w:type="character" w:customStyle="1" w:styleId="14">
    <w:name w:val="font121"/>
    <w:basedOn w:val="5"/>
    <w:uiPriority w:val="0"/>
    <w:rPr>
      <w:rFonts w:ascii="Wingdings 2" w:hAnsi="Wingdings 2" w:eastAsia="Wingdings 2" w:cs="Wingdings 2"/>
      <w:color w:val="000000"/>
      <w:sz w:val="20"/>
      <w:szCs w:val="20"/>
      <w:u w:val="none"/>
    </w:rPr>
  </w:style>
  <w:style w:type="character" w:customStyle="1" w:styleId="15">
    <w:name w:val="font131"/>
    <w:basedOn w:val="5"/>
    <w:uiPriority w:val="0"/>
    <w:rPr>
      <w:rFonts w:hint="default" w:ascii="Wingdings 2" w:hAnsi="Wingdings 2" w:eastAsia="Wingdings 2" w:cs="Wingdings 2"/>
      <w:color w:val="000000"/>
      <w:sz w:val="20"/>
      <w:szCs w:val="20"/>
      <w:u w:val="none"/>
    </w:rPr>
  </w:style>
  <w:style w:type="character" w:customStyle="1" w:styleId="16">
    <w:name w:val="font11"/>
    <w:basedOn w:val="5"/>
    <w:qFormat/>
    <w:uiPriority w:val="0"/>
    <w:rPr>
      <w:rFonts w:hint="eastAsia" w:ascii="微软雅黑" w:hAnsi="微软雅黑" w:eastAsia="微软雅黑" w:cs="微软雅黑"/>
      <w:color w:val="000000"/>
      <w:sz w:val="20"/>
      <w:szCs w:val="20"/>
      <w:u w:val="none"/>
    </w:rPr>
  </w:style>
  <w:style w:type="character" w:customStyle="1" w:styleId="17">
    <w:name w:val="font51"/>
    <w:basedOn w:val="5"/>
    <w:qFormat/>
    <w:uiPriority w:val="0"/>
    <w:rPr>
      <w:rFonts w:hint="eastAsia" w:ascii="微软雅黑" w:hAnsi="微软雅黑" w:eastAsia="微软雅黑" w:cs="微软雅黑"/>
      <w:b/>
      <w:bCs/>
      <w:color w:val="000000"/>
      <w:sz w:val="20"/>
      <w:szCs w:val="20"/>
      <w:u w:val="none"/>
    </w:rPr>
  </w:style>
  <w:style w:type="character" w:customStyle="1" w:styleId="18">
    <w:name w:val="font112"/>
    <w:basedOn w:val="5"/>
    <w:uiPriority w:val="0"/>
    <w:rPr>
      <w:rFonts w:hint="eastAsia" w:ascii="微软雅黑" w:hAnsi="微软雅黑" w:eastAsia="微软雅黑" w:cs="微软雅黑"/>
      <w:color w:val="000000"/>
      <w:sz w:val="20"/>
      <w:szCs w:val="20"/>
      <w:u w:val="none"/>
    </w:rPr>
  </w:style>
  <w:style w:type="character" w:customStyle="1" w:styleId="19">
    <w:name w:val="font01"/>
    <w:basedOn w:val="5"/>
    <w:uiPriority w:val="0"/>
    <w:rPr>
      <w:rFonts w:hint="default" w:ascii="Symbol" w:hAnsi="Symbol" w:cs="Symbol"/>
      <w:color w:val="000000"/>
      <w:sz w:val="20"/>
      <w:szCs w:val="20"/>
      <w:u w:val="none"/>
    </w:rPr>
  </w:style>
  <w:style w:type="character" w:customStyle="1" w:styleId="20">
    <w:name w:val="font111"/>
    <w:basedOn w:val="5"/>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678</Words>
  <Characters>713</Characters>
  <Lines>0</Lines>
  <Paragraphs>0</Paragraphs>
  <TotalTime>0</TotalTime>
  <ScaleCrop>false</ScaleCrop>
  <LinksUpToDate>false</LinksUpToDate>
  <CharactersWithSpaces>738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2022-11-28T02:56:00Z</dcterms:created>
  <dc:creator>企赢彭老师（渠道）18820199517</dc:creator>
  <cp:lastModifiedBy>企赢彭老师（渠道）18820199517</cp:lastModifiedBy>
  <dcterms:modified xsi:type="dcterms:W3CDTF">2022-11-28T09:31:14Z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C6181B64D9CE49B288542900D65EF56C</vt:lpwstr>
  </property>
</Properties>
</file>