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课程大纲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一、人效概述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人效管理的价值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数字时代的趋势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价值链管理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高绩效组织的抓手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人效管理的视角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人效管理的原则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二、数据治理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人效分析矩阵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人效指标体系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实操演练：人效指标提取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思维设计发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IPOOC法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效能仪表盘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三、人效实操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人效分析步骤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GHR人效诊断工具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实操演练：人效管理成熟度诊断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制控制方法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黄金不等式设计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实操演练：企业人效数据分析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人力资源报表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人效两维分析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人效预测模型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 四、人效提升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人效提升维度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人效优化全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数字全息画像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经营管理看板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共享服务机制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平台数智规划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生态融合服务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​</w:t>
      </w:r>
    </w:p>
    <w:p>
      <w:pPr>
        <w:rPr>
          <w:rFonts w:hint="default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zMTlhN2U1ZDIxM2QwYjBlYTgxYzAyYTQ1Yzk5MjQifQ=="/>
  </w:docVars>
  <w:rsids>
    <w:rsidRoot w:val="11163CD7"/>
    <w:rsid w:val="11163CD7"/>
    <w:rsid w:val="59080725"/>
    <w:rsid w:val="681C3331"/>
    <w:rsid w:val="7CBE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1747</Words>
  <Characters>1757</Characters>
  <Lines>0</Lines>
  <Paragraphs>0</Paragraphs>
  <TotalTime>6</TotalTime>
  <ScaleCrop>false</ScaleCrop>
  <LinksUpToDate>false</LinksUpToDate>
  <CharactersWithSpaces>1797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2022-11-29T09:19:00Z</dcterms:created>
  <dc:creator>企赢彭老师（渠道）18820199517</dc:creator>
  <cp:lastModifiedBy>企赢彭老师（渠道）18820199517</cp:lastModifiedBy>
  <dcterms:modified xsi:type="dcterms:W3CDTF">2022-11-29T10:12:12Z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D46331E616624EAE9F48F1C4B41C564A</vt:lpwstr>
  </property>
</Properties>
</file>