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讲透绩效-战略视角下绩效管理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"http://qs100.com/ArticleShow.asp?ArticleID=4411" </w:instrTex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报名详情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333333"/>
          <w:sz w:val="20"/>
          <w:szCs w:val="20"/>
          <w:u w:val="single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sz w:val="20"/>
          <w:szCs w:val="20"/>
          <w:u w:val="single"/>
        </w:rPr>
        <w:t xml:space="preserve">场次： 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  <w:r>
        <w:rPr>
          <w:rFonts w:hint="default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default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21</w:t>
      </w:r>
      <w:r>
        <w:rPr>
          <w:rFonts w:hint="eastAsia" w:ascii="微软雅黑" w:hAnsi="微软雅黑" w:eastAsia="微软雅黑" w:cs="微软雅黑"/>
          <w:b/>
          <w:bCs w:val="0"/>
          <w:color w:val="404040" w:themeColor="text1" w:themeTint="BF"/>
          <w:kern w:val="0"/>
          <w:sz w:val="20"/>
          <w:szCs w:val="20"/>
          <w:u w:val="single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日上海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/>
          <w:color w:val="333333"/>
          <w:kern w:val="0"/>
          <w:sz w:val="20"/>
          <w:szCs w:val="20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333333"/>
          <w:kern w:val="0"/>
          <w:sz w:val="20"/>
          <w:szCs w:val="20"/>
          <w:u w:val="single"/>
        </w:rPr>
        <w:t>费用： 3980/元人（差旅费用请自理）</w:t>
      </w:r>
    </w:p>
    <w:p>
      <w:pPr>
        <w:rPr>
          <w:rFonts w:hint="eastAsia" w:ascii="微软雅黑" w:hAnsi="微软雅黑" w:eastAsia="微软雅黑" w:cs="微软雅黑"/>
          <w:b/>
          <w:color w:val="0000FF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【课程简介】：</w:t>
      </w:r>
    </w:p>
    <w:p>
      <w:pPr>
        <w:ind w:firstLine="600" w:firstLineChars="300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绩效管理是公司业务管理能力和人力资源管理能力提升的重要方式，本课程将管理理论与企业管理实践结合，系统讲解绩效输入、组织绩效到个人绩效、不同绩效管理工具、绩效流程和绩效应用等内容。</w:t>
      </w:r>
    </w:p>
    <w:p>
      <w:pPr>
        <w:rPr>
          <w:rFonts w:hint="eastAsia" w:ascii="微软雅黑" w:hAnsi="微软雅黑" w:eastAsia="微软雅黑" w:cs="微软雅黑"/>
          <w:b/>
          <w:color w:val="0000FF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CN"/>
        </w:rPr>
        <w:t>理论基础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】</w:t>
      </w:r>
    </w:p>
    <w:p>
      <w:pPr>
        <w:ind w:firstLine="630" w:firstLineChars="300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126365</wp:posOffset>
            </wp:positionV>
            <wp:extent cx="5695950" cy="3663950"/>
            <wp:effectExtent l="0" t="0" r="6350" b="635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00" w:firstLineChars="300"/>
        <w:rPr>
          <w:rFonts w:hint="eastAsia" w:ascii="微软雅黑" w:hAnsi="微软雅黑" w:eastAsia="微软雅黑" w:cs="微软雅黑"/>
          <w:bCs/>
          <w:sz w:val="20"/>
          <w:szCs w:val="20"/>
        </w:rPr>
      </w:pPr>
    </w:p>
    <w:p>
      <w:pPr>
        <w:ind w:firstLine="600" w:firstLineChars="300"/>
        <w:rPr>
          <w:rFonts w:hint="eastAsia" w:ascii="微软雅黑" w:hAnsi="微软雅黑" w:eastAsia="微软雅黑" w:cs="微软雅黑"/>
          <w:bCs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【课程收益】：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转变观念：了解价值链循环，清晰绩效的输入，明确责任主体；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提升能力：根据业务情况和发展阶段，理解绩效管理的深层逻辑，掌握绩效管理流程和工具；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改善效率：能够运用绩效管理，促进效能提升可衡量，实现业务高质量发展。</w:t>
      </w:r>
    </w:p>
    <w:p>
      <w:pPr>
        <w:rPr>
          <w:rFonts w:hint="eastAsia" w:ascii="微软雅黑" w:hAnsi="微软雅黑" w:eastAsia="微软雅黑" w:cs="微软雅黑"/>
          <w:b/>
          <w:bCs/>
          <w:color w:val="000000"/>
          <w:kern w:val="24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【课程特色】：</w:t>
      </w:r>
      <w:r>
        <w:rPr>
          <w:rFonts w:hint="eastAsia" w:ascii="微软雅黑" w:hAnsi="微软雅黑" w:eastAsia="微软雅黑" w:cs="微软雅黑"/>
          <w:b w:val="0"/>
          <w:bCs w:val="0"/>
          <w:sz w:val="20"/>
          <w:szCs w:val="20"/>
        </w:rPr>
        <w:t>基于华为绩效管理实践和业务标杆企业成功实践，形成针对绩效管理体系和能力的系统性课程。</w:t>
      </w:r>
      <w:r>
        <w:rPr>
          <w:rFonts w:hint="eastAsia" w:ascii="微软雅黑" w:hAnsi="微软雅黑" w:eastAsia="微软雅黑" w:cs="微软雅黑"/>
          <w:b/>
          <w:bCs/>
          <w:color w:val="000000"/>
          <w:kern w:val="24"/>
          <w:sz w:val="20"/>
          <w:szCs w:val="20"/>
        </w:rPr>
        <w:t>【适合对象】：各业务部门管理者，HR管理者</w:t>
      </w:r>
    </w:p>
    <w:p>
      <w:pPr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sz w:val="20"/>
          <w:szCs w:val="20"/>
          <w:lang w:val="en-US" w:eastAsia="zh-Hans"/>
        </w:rPr>
        <w:t>课程内容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】</w:t>
      </w:r>
    </w:p>
    <w:p>
      <w:pPr>
        <w:pStyle w:val="19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20" w:lineRule="exact"/>
        <w:rPr>
          <w:rFonts w:hint="eastAsia" w:ascii="微软雅黑" w:hAnsi="微软雅黑" w:eastAsia="微软雅黑" w:cs="微软雅黑"/>
          <w:b/>
          <w:bCs/>
          <w:color w:val="2F549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kern w:val="2"/>
          <w:sz w:val="20"/>
          <w:szCs w:val="20"/>
        </w:rPr>
        <w:t>导入  VUCA时代下的企业管理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0"/>
          <w:szCs w:val="20"/>
        </w:rPr>
        <w:t>活动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 xml:space="preserve">】事件过山车 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【案例】店老板的烦恼</w:t>
      </w:r>
    </w:p>
    <w:p>
      <w:pPr>
        <w:spacing w:line="460" w:lineRule="exac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0.1 学习科学的绩效管理</w:t>
      </w:r>
    </w:p>
    <w:p>
      <w:pPr>
        <w:spacing w:line="460" w:lineRule="exac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0.2 价值创造的管理循环是提升组织活力的基础</w:t>
      </w:r>
    </w:p>
    <w:p>
      <w:pPr>
        <w:spacing w:line="460" w:lineRule="exact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0.3 人工智能时代绩效管理趋势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【案例】H公司绩效发展历程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2F5496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2F5496"/>
          <w:sz w:val="20"/>
          <w:szCs w:val="20"/>
        </w:rPr>
        <w:t>一  绩效输入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  <w:t>1   绩效管理的基本思想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【讨论】谁是我们的客户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1.1 什么是绩效&amp;绩效管理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1.2 组织绩效管理导向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1.3 个人绩效管理导向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1.4 避免绩效的误区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【案例】华为组织与个人绩效管理导向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【训战1】我理解的绩效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  <w:t>2  绩效管理的本质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2.1 绩效管理体系架构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2.2 绩效承载战略落地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2.3 通过绩效管理实施，实现业务目标达成和持续发展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2F5496"/>
          <w:sz w:val="20"/>
          <w:szCs w:val="20"/>
        </w:rPr>
        <w:t>二  绩效管理</w:t>
      </w:r>
    </w:p>
    <w:p>
      <w:pPr>
        <w:pStyle w:val="19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20" w:lineRule="exact"/>
        <w:rPr>
          <w:rFonts w:hint="eastAsia" w:ascii="微软雅黑" w:hAnsi="微软雅黑" w:eastAsia="微软雅黑" w:cs="微软雅黑"/>
          <w:b/>
          <w:bCs/>
          <w:color w:val="C45911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kern w:val="2"/>
          <w:sz w:val="20"/>
          <w:szCs w:val="20"/>
        </w:rPr>
        <w:t>3  组织绩效建设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3.1 组织绩效KPI设置原则和要求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3.2 从战略出发，逐层分解，形成绩效目标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3.3 厘清组织绩效的来源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3.4 组织绩效的指标评价标准和检查要求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【案例】谷歌的组织绩效管理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【训战2】设计本组织的组织绩效指标</w:t>
      </w:r>
    </w:p>
    <w:p>
      <w:pPr>
        <w:pStyle w:val="19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420" w:lineRule="exact"/>
        <w:rPr>
          <w:rFonts w:hint="eastAsia" w:ascii="微软雅黑" w:hAnsi="微软雅黑" w:eastAsia="微软雅黑" w:cs="微软雅黑"/>
          <w:b/>
          <w:bCs/>
          <w:color w:val="C45911"/>
          <w:kern w:val="2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kern w:val="2"/>
          <w:sz w:val="20"/>
          <w:szCs w:val="20"/>
        </w:rPr>
        <w:t>4  个人绩效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4.1 个人绩效管理的导向与原则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4.2 个人绩效管理场景及分层分级管理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4.3 基于不同场景的差异化个人绩效管理方式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4.4 专业类员工绩效考核制定指引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4.5 个人绩效评价三部分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【案例】亚马逊的个人绩效管理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2F5496"/>
          <w:sz w:val="20"/>
          <w:szCs w:val="20"/>
        </w:rPr>
        <w:t>三  绩效实施</w:t>
      </w:r>
    </w:p>
    <w:p>
      <w:pPr>
        <w:spacing w:line="460" w:lineRule="exact"/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  <w:t>5  绩效管理的武器库</w:t>
      </w:r>
    </w:p>
    <w:p>
      <w:pPr>
        <w:tabs>
          <w:tab w:val="left" w:pos="720"/>
        </w:tabs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CN"/>
        </w:rPr>
        <w:t>5.1 绩效目标制定的总体思路</w:t>
      </w:r>
    </w:p>
    <w:p>
      <w:pPr>
        <w:tabs>
          <w:tab w:val="left" w:pos="720"/>
        </w:tabs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CN"/>
        </w:rPr>
        <w:t>5.2 绩效目标和目标值的制定和关键因素</w:t>
      </w:r>
    </w:p>
    <w:p>
      <w:pPr>
        <w:tabs>
          <w:tab w:val="left" w:pos="720"/>
        </w:tabs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CN"/>
        </w:rPr>
        <w:t>5.3 绩效辅导的方法</w:t>
      </w:r>
    </w:p>
    <w:p>
      <w:pPr>
        <w:tabs>
          <w:tab w:val="left" w:pos="720"/>
        </w:tabs>
        <w:spacing w:line="460" w:lineRule="exact"/>
        <w:ind w:firstLine="200" w:firstLineChars="100"/>
        <w:rPr>
          <w:rFonts w:hint="eastAsia" w:ascii="微软雅黑" w:hAnsi="微软雅黑" w:eastAsia="微软雅黑" w:cs="微软雅黑"/>
          <w:sz w:val="20"/>
          <w:szCs w:val="20"/>
          <w:lang w:val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zh-CN"/>
        </w:rPr>
        <w:t>5.4 绩效申诉的机制与流程</w:t>
      </w:r>
    </w:p>
    <w:p>
      <w:pPr>
        <w:spacing w:line="460" w:lineRule="exact"/>
        <w:ind w:firstLine="200" w:firstLineChars="100"/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【训战3】绩效评价实战</w:t>
      </w:r>
    </w:p>
    <w:p>
      <w:pPr>
        <w:spacing w:before="292" w:line="194" w:lineRule="auto"/>
        <w:ind w:left="39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0"/>
          <w:szCs w:val="20"/>
        </w:rPr>
        <w:t>结语  建设业务驱动的绩效管理，持续迭代</w:t>
      </w:r>
    </w:p>
    <w:p>
      <w:pPr>
        <w:widowControl w:val="0"/>
        <w:spacing w:line="460" w:lineRule="exact"/>
        <w:jc w:val="both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【讲师介绍-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:lang w:val="en-US" w:eastAsia="zh-Hans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微软雅黑" w:hAnsi="微软雅黑" w:eastAsia="微软雅黑" w:cs="微软雅黑"/>
          <w:b/>
          <w:bCs w:val="0"/>
          <w:kern w:val="2"/>
          <w:sz w:val="20"/>
          <w:szCs w:val="20"/>
        </w:rPr>
        <w:t>老师</w:t>
      </w:r>
      <w:r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组织与人才管理实战专家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中国人民大学（人力资源管理专业）硕士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曾任华为人力资源解决方案专家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曾任华为大客户组织咨询项目总监、技术总监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曾任海康威视海外大区人力负责人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曾任万向集团董事局主席秘书（第一代民营企业，营收超千亿）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浙江大学、上海交大特聘讲师 一级企业人力资源管理师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中国企业人才发展智库高级研究员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擅长领域：组织管理与绩效、业务视角下的人才管理、企业大学建设、领导力 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【个人简介】 </w:t>
      </w:r>
    </w:p>
    <w:p>
      <w:pPr>
        <w:keepNext w:val="0"/>
        <w:keepLines w:val="0"/>
        <w:widowControl/>
        <w:suppressLineNumbers w:val="0"/>
        <w:ind w:lef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马老师拥多家世界500强企业工作经历，凭借超过17年丰富的管理实战经验，深耕人力资源管理。特别是在业务视角下的组织管理（业务战略落地组织、组织绩效、职位管理、组织诊断与设计等）、人才管理（人才选聘、个人绩效、任职、人才发展、人才管理）、领导力（开发与实践）等领域，都有些深厚的理论功底和丰富的实践经历。 </w:t>
      </w:r>
    </w:p>
    <w:p>
      <w:pPr>
        <w:keepNext w:val="0"/>
        <w:keepLines w:val="0"/>
        <w:widowControl/>
        <w:suppressLineNumbers w:val="0"/>
        <w:ind w:lef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马老师在万向集团工作期间，曾任集团培训部主任，董事局主席（鲁冠球先生）秘书等职位，在中国第一代民营企业家的影响下，深入洞察业务实际，能高层领导决策和企业经营发展提供相应支持。 </w:t>
      </w:r>
    </w:p>
    <w:p>
      <w:pPr>
        <w:keepNext w:val="0"/>
        <w:keepLines w:val="0"/>
        <w:widowControl/>
        <w:suppressLineNumbers w:val="0"/>
        <w:ind w:lef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马老师在海康威视任职期间，负责公司超过3万员工的学习发展工作，长期为公司全球人才发展设计系统化体系，并实施落地；在海外工作期间，主管海外大区年度战略解码（关键任务、组织、人才、文化）和执行监控工作，推动区域业绩持续提升。马老师是海康威视金牌讲师，年度授课量超过70天。 </w:t>
      </w:r>
    </w:p>
    <w:p>
      <w:pPr>
        <w:keepNext w:val="0"/>
        <w:keepLines w:val="0"/>
        <w:widowControl/>
        <w:suppressLineNumbers w:val="0"/>
        <w:ind w:lef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马老师在华为工作期间，主要负责华为生态客户的辅导与赋能工作，深刻理解华为“从哲学到实践”的理念，凭借华为多年的理论与实践积累，为国内多家知名企业提供了全方位服务，得到客户一致认可，并获评“明日之星”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【授课风格】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u w:val="none"/>
          <w:lang w:val="en-US" w:eastAsia="zh-CN" w:bidi="ar"/>
        </w:rPr>
        <w:t>专业性强：凭借在国外学习的先进理念、高超的专业技术、过硬的实操技巧、成功推广的实战经验，成为组织管理的引领者； 实用落地：凭借多年丰富的工作经验、成功案例资源，成为管理实战、实操、实用、实施专家； 引导启发：案例逐一解析，复盘失败原因；分享成功经验，点评一针见血；问题举一反三，技巧现学现用。 对症下药：找出问题原因，彻底解决；分享技能工具，授之以渔；量体裁衣设计，落地实施。 风趣幽默：轻松愉快，深入浅出；生动活泼，通俗易懂；谈笑风生，印象深刻。</w:t>
      </w:r>
    </w:p>
    <w:p>
      <w:pPr>
        <w:widowControl w:val="0"/>
        <w:spacing w:line="460" w:lineRule="exact"/>
        <w:jc w:val="both"/>
        <w:rPr>
          <w:rFonts w:hint="eastAsia" w:ascii="微软雅黑" w:hAnsi="微软雅黑" w:eastAsia="微软雅黑" w:cs="微软雅黑"/>
          <w:b/>
          <w:bCs w:val="0"/>
          <w:color w:val="000000" w:themeColor="text1"/>
          <w:kern w:val="2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微软雅黑" w:hAnsi="微软雅黑" w:eastAsia="微软雅黑" w:cs="微软雅黑"/>
          <w:color w:val="auto"/>
          <w:szCs w:val="21"/>
          <w:u w:color="01010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部分学员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】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综合类：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上汽集团、中国电信、国家电网、中国移动、东方航空、物产集团、中国邮政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商业类：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康师傅、银泰集团、健合集团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金融类：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招商银行、邮储银行、兴业银行、南京银行、泰隆银行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科技类：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宁德时代、中控集团、万马集团、诺尔康、赛博鼎讯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互联网：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恒生电子、顺网科技、每日互动、浙江网络安全研究所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能源类：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山西焦煤、华友钴业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地产类：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中海地产、重庆璞润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制造类：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中航昌飞、中航特车、天能集团、良信电器、承德露露、万控集团、康普顿、新凤鸣、杭齿集团</w:t>
      </w:r>
    </w:p>
    <w:p>
      <w:pPr>
        <w:numPr>
          <w:ilvl w:val="0"/>
          <w:numId w:val="2"/>
        </w:numPr>
        <w:spacing w:line="400" w:lineRule="exact"/>
        <w:rPr>
          <w:rFonts w:ascii="微软雅黑" w:hAnsi="微软雅黑" w:eastAsia="微软雅黑" w:cs="微软雅黑"/>
          <w:b/>
          <w:bCs/>
          <w:color w:val="auto"/>
          <w:szCs w:val="21"/>
          <w:u w:color="000000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  <w:u w:color="000000"/>
        </w:rPr>
        <w:t>传媒类：</w:t>
      </w:r>
      <w:r>
        <w:rPr>
          <w:rFonts w:hint="eastAsia" w:ascii="微软雅黑" w:hAnsi="微软雅黑" w:eastAsia="微软雅黑" w:cs="微软雅黑"/>
          <w:color w:val="auto"/>
          <w:szCs w:val="21"/>
          <w:u w:color="000000"/>
        </w:rPr>
        <w:t>浙数文化、云南广电、通明传媒</w:t>
      </w: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</w:p>
    <w:p>
      <w:pPr>
        <w:spacing w:line="400" w:lineRule="exact"/>
        <w:rPr>
          <w:rFonts w:ascii="微软雅黑" w:hAnsi="微软雅黑" w:eastAsia="微软雅黑" w:cs="微软雅黑"/>
          <w:szCs w:val="21"/>
        </w:rPr>
      </w:pPr>
    </w:p>
    <w:p>
      <w:pPr>
        <w:widowControl/>
        <w:spacing w:line="400" w:lineRule="exact"/>
        <w:rPr>
          <w:rFonts w:hint="eastAsia" w:ascii="微软雅黑" w:hAnsi="微软雅黑" w:eastAsia="微软雅黑" w:cs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  <w:lang w:val="en-US" w:eastAsia="zh-CN"/>
        </w:rPr>
        <w:t>精彩瞬间</w:t>
      </w:r>
      <w:r>
        <w:rPr>
          <w:rFonts w:hint="eastAsia" w:ascii="微软雅黑" w:hAnsi="微软雅黑" w:eastAsia="微软雅黑" w:cs="微软雅黑"/>
          <w:b/>
          <w:bCs/>
          <w:color w:val="auto"/>
          <w:szCs w:val="21"/>
        </w:rPr>
        <w:t>】</w:t>
      </w:r>
    </w:p>
    <w:p>
      <w:pPr>
        <w:widowControl/>
        <w:spacing w:line="400" w:lineRule="exact"/>
        <w:rPr>
          <w:rFonts w:hint="eastAsia" w:ascii="微软雅黑" w:hAnsi="微软雅黑" w:eastAsia="微软雅黑" w:cs="微软雅黑"/>
          <w:b/>
          <w:bCs/>
          <w:color w:val="0070C0"/>
          <w:szCs w:val="21"/>
        </w:rPr>
      </w:pP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41910</wp:posOffset>
            </wp:positionV>
            <wp:extent cx="2572385" cy="1715135"/>
            <wp:effectExtent l="0" t="0" r="5715" b="1206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rcRect t="35800" r="-1052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szCs w:val="21"/>
        </w:rPr>
        <w:drawing>
          <wp:inline distT="0" distB="0" distL="0" distR="0">
            <wp:extent cx="2540000" cy="16992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478" cy="171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  </w:t>
      </w:r>
    </w:p>
    <w:p>
      <w:pPr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ascii="微软雅黑" w:hAnsi="微软雅黑" w:eastAsia="微软雅黑" w:cs="微软雅黑"/>
          <w:b/>
          <w:bCs/>
          <w:szCs w:val="21"/>
        </w:rPr>
        <w:drawing>
          <wp:inline distT="0" distB="0" distL="0" distR="0">
            <wp:extent cx="2336165" cy="1753235"/>
            <wp:effectExtent l="0" t="0" r="63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798" cy="1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  </w:t>
      </w:r>
      <w:r>
        <w:rPr>
          <w:rFonts w:ascii="微软雅黑" w:hAnsi="微软雅黑" w:eastAsia="微软雅黑" w:cs="微软雅黑"/>
          <w:b/>
          <w:bCs/>
          <w:szCs w:val="21"/>
        </w:rPr>
        <w:drawing>
          <wp:inline distT="0" distB="0" distL="0" distR="0">
            <wp:extent cx="2390140" cy="1793240"/>
            <wp:effectExtent l="0" t="0" r="1016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2236" cy="180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exact"/>
        <w:ind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0"/>
          <w:szCs w:val="20"/>
          <w:lang w:eastAsia="zh-Hans"/>
        </w:rPr>
      </w:pPr>
    </w:p>
    <w:sectPr>
      <w:headerReference r:id="rId3" w:type="default"/>
      <w:footerReference r:id="rId4" w:type="default"/>
      <w:pgSz w:w="11900" w:h="16840"/>
      <w:pgMar w:top="1440" w:right="1080" w:bottom="1440" w:left="1080" w:header="75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'宋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ヒラギノ角ゴ Pro W3">
    <w:panose1 w:val="020B0300000000000000"/>
    <w:charset w:val="86"/>
    <w:family w:val="roma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-476885</wp:posOffset>
              </wp:positionH>
              <wp:positionV relativeFrom="paragraph">
                <wp:posOffset>92710</wp:posOffset>
              </wp:positionV>
              <wp:extent cx="7169150" cy="494665"/>
              <wp:effectExtent l="0" t="0" r="6350" b="635"/>
              <wp:wrapNone/>
              <wp:docPr id="4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9150" cy="494665"/>
                      </a:xfrm>
                      <a:prstGeom prst="rect">
                        <a:avLst/>
                      </a:prstGeom>
                      <a:solidFill>
                        <a:srgbClr val="CD13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left"/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公司地址：中国上海市长宁区中山西路1065号中山SOHO B座</w:t>
                          </w:r>
                          <w:r>
                            <w:rPr>
                              <w:rFonts w:hint="default"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楼</w:t>
                          </w:r>
                          <w:r>
                            <w:rPr>
                              <w:rFonts w:hint="default"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:lang w:eastAsia="zh-Hans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           </w:t>
                          </w:r>
                          <w:r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  </w:t>
                          </w:r>
                          <w:r>
                            <w:rPr>
                              <w:rFonts w:hint="eastAsia"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免费服务热线:400-696-2298 </w:t>
                          </w:r>
                          <w:r>
                            <w:rPr>
                              <w:rFonts w:asciiTheme="minorEastAsia" w:hAnsiTheme="minorEastAsia"/>
                              <w:b/>
                              <w:bCs/>
                              <w:color w:val="FFFFFF" w:themeColor="background1"/>
                              <w:sz w:val="2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1"/>
                              <w:szCs w:val="21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left:-37.55pt;margin-top:7.3pt;height:38.95pt;width:564.5pt;z-index:251660288;v-text-anchor:middle;mso-width-relative:page;mso-height-relative:page;" fillcolor="#CD1320" filled="t" stroked="f" coordsize="21600,21600" o:gfxdata="UEsFBgAAAAAAAAAAAAAAAAAAAAAAAFBLAwQKAAAAAACHTuJAAAAAAAAAAAAAAAAABAAAAGRycy9Q&#10;SwMEFAAAAAgAh07iQI66SkTXAAAACgEAAA8AAABkcnMvZG93bnJldi54bWxNj0FPwkAQhe8m/ofN&#10;mHgxsC1QkNotCUYu3kS5D92xrXRnm90t1H/PctLj5H1575tiM5pOnMn51rKCdJqAIK6sbrlW8PW5&#10;mzyD8AFZY2eZFPySh015f1dgru2FP+i8D7WIJexzVNCE0OdS+qohg35qe+KYfVtnMMTT1VI7vMRy&#10;08lZkiylwZbjQoM9vTZUnfaDUeAPzh1OP+N2u1jNUb/XT3p4I6UeH9LkBUSgMfzBcNOP6lBGp6Md&#10;WHvRKZissjSiMVgsQdyAJJuvQRwVrGcZyLKQ/18or1BLAwQUAAAACACHTuJAihCYb3YCAADWBAAA&#10;DgAAAGRycy9lMm9Eb2MueG1srVTNbhMxEL4j8Q6W73SzaZq2UTdVlKgIqaKVCuLseL1ZS/7DdrIp&#10;L4PEjYfgcRCvwWfvNi2FQw/k4Mx4Zr/xfP7GF5d7rchO+CCtqWh5NKJEGG5raTYV/fjh6s0ZJSEy&#10;UzNljajovQj0cv761UXnZmJsW6tq4QlATJh1rqJtjG5WFIG3QrNwZJ0wCDbWaxbh+k1Re9YBXati&#10;PBpNi8762nnLRQjYXfVBOiD6lwDappFcrCzfamFij+qFYhEthVa6QOf5tE0jeLxpmiAiURVFpzGv&#10;KAJ7ndZifsFmG89cK/lwBPaSIzzrSTNpUPQAtWKRka2Xf0Fpyb0NtolH3OqibyQzgi7K0TNu7lrm&#10;RO4FVAd3ID38P1j+fnfriawrOqHEMI0L//X1+88f38hx4qZzYYaUO3frBy/ATI3uG6/TP1og+8zn&#10;/YFPsY+EY/O0nJ6XJ6CaIzY5n0ynJwm0ePza+RDfCqtJMirqcV+ZRra7DrFPfUhJxYJVsr6SSmXH&#10;b9ZL5cmO4W6Xq/J4nK8T6H+kKUM66Hx8OkoHYVBsA6XA1A5dB7OhhKkNRoFHn2sbmyqgOJul2isW&#10;2r5Ghu0Vo2XEECipK3o2Sr+hL2XQXiKtpylZcb/eD9ytbX0Ptr3tZRgcv5KocM1CvGUeusMJMZnx&#10;BkujLI5tB4uS1vov/9pP+ZADopR00DFa+rxlXlCi3hkI5bycTAAbszM5OQVJxD+NrJ9GzFYvLegs&#10;8QY4ns2UH9WD2XirP2GAF6kqQsxw1O7JG5xl7OcLTwAXi0VOg9gdi9fmzvEEnrg1drGNtpH5mhNR&#10;PTsDf5B7Fsowmmmenvo56/E5mv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FgAAAGRycy9QSwECFAAUAAAACACHTuJAjrpKRNcAAAAKAQAA&#10;DwAAAAAAAAABACAAAAA4AAAAZHJzL2Rvd25yZXYueG1sUEsBAhQAFAAAAAgAh07iQIoQmG92AgAA&#10;1gQAAA4AAAAAAAAAAQAgAAAAPAEAAGRycy9lMm9Eb2MueG1sUEsFBgAAAAAGAAYAWQEAACQGAAAA&#10;AA=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Theme="minorEastAsia" w:hAnsi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公司地址：中国上海市长宁区中山西路1065号中山SOHO B座</w:t>
                    </w:r>
                    <w:r>
                      <w:rPr>
                        <w:rFonts w:hint="default"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7</w:t>
                    </w:r>
                    <w:r>
                      <w:rPr>
                        <w:rFonts w:hint="eastAsia"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:lang w:val="en-US"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楼</w:t>
                    </w:r>
                    <w:r>
                      <w:rPr>
                        <w:rFonts w:hint="default"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:lang w:eastAsia="zh-Hans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           </w:t>
                    </w:r>
                    <w:r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  </w:t>
                    </w:r>
                    <w:r>
                      <w:rPr>
                        <w:rFonts w:hint="eastAsia"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免费服务热线:400-696-2298 </w:t>
                    </w:r>
                    <w:r>
                      <w:rPr>
                        <w:rFonts w:asciiTheme="minorEastAsia" w:hAnsiTheme="minorEastAsia"/>
                        <w:b/>
                        <w:bCs/>
                        <w:color w:val="FFFFFF" w:themeColor="background1"/>
                        <w:sz w:val="21"/>
                        <w:szCs w:val="2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1"/>
                        <w:szCs w:val="21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78" w:rightChars="37"/>
      <w:jc w:val="left"/>
    </w:pPr>
    <w:r>
      <w:rPr>
        <w:color w:val="4472C4" w:themeColor="accent1"/>
        <w:spacing w:val="20"/>
        <w:sz w:val="28"/>
        <w14:textFill>
          <w14:solidFill>
            <w14:schemeClr w14:val="accent1"/>
          </w14:solidFill>
        </w14:textFill>
      </w:rPr>
      <w:drawing>
        <wp:inline distT="0" distB="0" distL="0" distR="0">
          <wp:extent cx="1352550" cy="631190"/>
          <wp:effectExtent l="0" t="0" r="0" b="3810"/>
          <wp:docPr id="2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9331" cy="64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2C216"/>
    <w:multiLevelType w:val="singleLevel"/>
    <w:tmpl w:val="3322C21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235492"/>
    <w:multiLevelType w:val="multilevel"/>
    <w:tmpl w:val="4A235492"/>
    <w:lvl w:ilvl="0" w:tentative="0">
      <w:start w:val="1"/>
      <w:numFmt w:val="bullet"/>
      <w:lvlText w:val="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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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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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0MmUyM2JhZjdmYWQ0YmVhNzRkM2EwY2QwOTQxNjcifQ=="/>
  </w:docVars>
  <w:rsids>
    <w:rsidRoot w:val="009D0CF5"/>
    <w:rsid w:val="00000EE5"/>
    <w:rsid w:val="00010D2B"/>
    <w:rsid w:val="000936A0"/>
    <w:rsid w:val="000A3BBB"/>
    <w:rsid w:val="000D4DF5"/>
    <w:rsid w:val="0017530F"/>
    <w:rsid w:val="00183B62"/>
    <w:rsid w:val="001A3097"/>
    <w:rsid w:val="00297F41"/>
    <w:rsid w:val="0030157E"/>
    <w:rsid w:val="003135CE"/>
    <w:rsid w:val="00407CAF"/>
    <w:rsid w:val="00416221"/>
    <w:rsid w:val="00430D8A"/>
    <w:rsid w:val="00522443"/>
    <w:rsid w:val="00595B6F"/>
    <w:rsid w:val="005A23BF"/>
    <w:rsid w:val="00634BE3"/>
    <w:rsid w:val="00657FD1"/>
    <w:rsid w:val="006B1367"/>
    <w:rsid w:val="006D36E1"/>
    <w:rsid w:val="006D7B5A"/>
    <w:rsid w:val="006E0553"/>
    <w:rsid w:val="00716671"/>
    <w:rsid w:val="007501C8"/>
    <w:rsid w:val="007C1EF0"/>
    <w:rsid w:val="007C7000"/>
    <w:rsid w:val="008D61F7"/>
    <w:rsid w:val="008E162F"/>
    <w:rsid w:val="008F047F"/>
    <w:rsid w:val="00937DEE"/>
    <w:rsid w:val="009D04FF"/>
    <w:rsid w:val="009D0CF5"/>
    <w:rsid w:val="009F3A3D"/>
    <w:rsid w:val="00A74755"/>
    <w:rsid w:val="00BB7B9F"/>
    <w:rsid w:val="00BF7A30"/>
    <w:rsid w:val="00C707BC"/>
    <w:rsid w:val="00C730AC"/>
    <w:rsid w:val="00D56FEE"/>
    <w:rsid w:val="00D96CEB"/>
    <w:rsid w:val="00DF2D8E"/>
    <w:rsid w:val="00DF555D"/>
    <w:rsid w:val="00E45089"/>
    <w:rsid w:val="00E45F2C"/>
    <w:rsid w:val="00E64501"/>
    <w:rsid w:val="00ED7DAF"/>
    <w:rsid w:val="00F35E02"/>
    <w:rsid w:val="00FC5152"/>
    <w:rsid w:val="02985DC6"/>
    <w:rsid w:val="02AD739F"/>
    <w:rsid w:val="058645FB"/>
    <w:rsid w:val="06E415DA"/>
    <w:rsid w:val="091A5787"/>
    <w:rsid w:val="09B7500F"/>
    <w:rsid w:val="0D5E27B9"/>
    <w:rsid w:val="10F41BD5"/>
    <w:rsid w:val="13DB5B12"/>
    <w:rsid w:val="16F47617"/>
    <w:rsid w:val="17086F76"/>
    <w:rsid w:val="17D82A95"/>
    <w:rsid w:val="186B1138"/>
    <w:rsid w:val="1A8707A2"/>
    <w:rsid w:val="1C5E5533"/>
    <w:rsid w:val="2309269C"/>
    <w:rsid w:val="23F944BF"/>
    <w:rsid w:val="24EF7670"/>
    <w:rsid w:val="26153106"/>
    <w:rsid w:val="27FFA0F4"/>
    <w:rsid w:val="2B1716CE"/>
    <w:rsid w:val="2B8B12B1"/>
    <w:rsid w:val="2CDA0C05"/>
    <w:rsid w:val="2DE25FC3"/>
    <w:rsid w:val="2EAB4F9F"/>
    <w:rsid w:val="30B758C8"/>
    <w:rsid w:val="33745910"/>
    <w:rsid w:val="36FFC43F"/>
    <w:rsid w:val="39B917E2"/>
    <w:rsid w:val="3B6049CB"/>
    <w:rsid w:val="3C3C1FE2"/>
    <w:rsid w:val="3E014244"/>
    <w:rsid w:val="3E5D2208"/>
    <w:rsid w:val="42415557"/>
    <w:rsid w:val="45321187"/>
    <w:rsid w:val="47E24441"/>
    <w:rsid w:val="4B1E08D6"/>
    <w:rsid w:val="4BE34F89"/>
    <w:rsid w:val="4F1B0EDE"/>
    <w:rsid w:val="50210776"/>
    <w:rsid w:val="51144E72"/>
    <w:rsid w:val="549A4653"/>
    <w:rsid w:val="54F16968"/>
    <w:rsid w:val="55572544"/>
    <w:rsid w:val="57A16050"/>
    <w:rsid w:val="57BD79B3"/>
    <w:rsid w:val="598A113A"/>
    <w:rsid w:val="59B937CD"/>
    <w:rsid w:val="5C0276AD"/>
    <w:rsid w:val="5D746389"/>
    <w:rsid w:val="5D796C36"/>
    <w:rsid w:val="5DCB3ACF"/>
    <w:rsid w:val="5E3E24F3"/>
    <w:rsid w:val="5F334021"/>
    <w:rsid w:val="610C0686"/>
    <w:rsid w:val="65D025CA"/>
    <w:rsid w:val="663A3EE7"/>
    <w:rsid w:val="67E265E5"/>
    <w:rsid w:val="6A641533"/>
    <w:rsid w:val="6BAFF012"/>
    <w:rsid w:val="6E0A23F1"/>
    <w:rsid w:val="6E7A7577"/>
    <w:rsid w:val="715F2A54"/>
    <w:rsid w:val="7206772C"/>
    <w:rsid w:val="7273177B"/>
    <w:rsid w:val="74031DBD"/>
    <w:rsid w:val="756E770A"/>
    <w:rsid w:val="759323FF"/>
    <w:rsid w:val="75DD2B1B"/>
    <w:rsid w:val="75FDD217"/>
    <w:rsid w:val="77E45A61"/>
    <w:rsid w:val="77FC6EFA"/>
    <w:rsid w:val="788D60F9"/>
    <w:rsid w:val="7BDF611B"/>
    <w:rsid w:val="7BE10C35"/>
    <w:rsid w:val="9247ED6D"/>
    <w:rsid w:val="9F75531D"/>
    <w:rsid w:val="AFFEEFE1"/>
    <w:rsid w:val="BFF7C23F"/>
    <w:rsid w:val="DEBFAD07"/>
    <w:rsid w:val="DFFBE7B7"/>
    <w:rsid w:val="EAFCC5C7"/>
    <w:rsid w:val="EBFF5086"/>
    <w:rsid w:val="FFE62138"/>
    <w:rsid w:val="FFFFD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rFonts w:eastAsia="'宋体"/>
      <w:kern w:val="0"/>
      <w:sz w:val="24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widowControl w:val="0"/>
      <w:overflowPunct w:val="0"/>
      <w:autoSpaceDE w:val="0"/>
      <w:autoSpaceDN w:val="0"/>
      <w:adjustRightInd w:val="0"/>
      <w:spacing w:after="120" w:line="312" w:lineRule="auto"/>
    </w:pPr>
    <w:rPr>
      <w:rFonts w:ascii="Georgia" w:hAnsi="Georgia" w:eastAsia="宋体" w:cs="Times New Roman"/>
      <w:color w:val="000000"/>
      <w:kern w:val="28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字符"/>
    <w:basedOn w:val="11"/>
    <w:link w:val="6"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1"/>
    </w:rPr>
  </w:style>
  <w:style w:type="paragraph" w:customStyle="1" w:styleId="19">
    <w:name w:val="Body A"/>
    <w:qFormat/>
    <w:uiPriority w:val="0"/>
    <w:rPr>
      <w:rFonts w:ascii="Helvetica" w:hAnsi="Helvetica" w:eastAsia="ヒラギノ角ゴ Pro W3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1966</Words>
  <Characters>2029</Characters>
  <Lines>9</Lines>
  <Paragraphs>2</Paragraphs>
  <TotalTime>0</TotalTime>
  <ScaleCrop>false</ScaleCrop>
  <LinksUpToDate>false</LinksUpToDate>
  <CharactersWithSpaces>2111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2021-03-23T17:49:00Z</dcterms:created>
  <dc:creator>Microsoft Office User</dc:creator>
  <cp:lastModifiedBy>王晓龙</cp:lastModifiedBy>
  <cp:lastPrinted>2020-11-27T23:19:00Z</cp:lastPrinted>
  <dcterms:modified xsi:type="dcterms:W3CDTF">2022-11-08T13:14:28Z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8F81FB7EA032A06AC47C5763E527C721</vt:lpwstr>
  </property>
</Properties>
</file>