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Hlk91793999"/>
      <w:bookmarkEnd w:id="0"/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金牌面试官：高效招聘与面试技巧</w:t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讲师：</w:t>
      </w:r>
      <w:r>
        <w:rPr>
          <w:rFonts w:hint="eastAsia"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沈老师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费用：</w:t>
      </w:r>
      <w:r>
        <w:rPr>
          <w:rFonts w:hint="eastAsia"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¥</w:t>
      </w:r>
      <w:r>
        <w:rPr>
          <w:rFonts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4,8</w:t>
      </w:r>
      <w:r>
        <w:rPr>
          <w:rFonts w:hint="eastAsia"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00元</w:t>
      </w:r>
      <w:r>
        <w:rPr>
          <w:rFonts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宋体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</w:t>
      </w:r>
    </w:p>
    <w:p>
      <w:pPr>
        <w:snapToGrid w:val="0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课程背景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招聘的困惑：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根据对多家承担企业招聘任务的面试官调研发现，在目标选才中以下困惑较为突出，具体如下：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怎么来设计候选人动力、文化适配性等问题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在面试中怎么察言观色并有效承接、或“鉴伪”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怎么判断候选人说的各种经历、事件属实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怎么根据岗位素质模型来设计面试问题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一般用结构化行为面试法来评价能力，怎么使用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用人部门提出招聘需求后，怎么沟通确定岗位画像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总是招聘不到人，是谁的责任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对于用人部门过“高”的招聘期望如何进行有效管理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HR和业务经理在招聘中如何分工，各自侧重什么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怎么从岗位职责、任职资格等梳理出某个岗位的胜任能力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如何影响业务经理或提升面试专业性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招聘进来的人试用不合格，谁该负责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如何审阅简历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哪些测评工具对面试有帮助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完整的面试流程包括哪些</w:t>
      </w: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在面试中怎么传递雇主品牌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可见，若不及时有效地解决上述困惑，逐一突破，那企业人才甄选工作或许一直达不到管理预期。本课程针对企业面临的上述困惑，进行针对性的开发，通过工作坊方式，掌握面试官技巧并学以致用。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课程目的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作为公司的管理者，工作众多，招聘是其中的一项重要工作。企业竞争说到底就是人才的竞争，尤其是核心的领导团队的竞争，为企业选拔到优秀人才，是企业基业长青的重要保障。而人的能力和对企业的贡献度，差异是巨大的，越往高的职位，贡献差距越大。如何选对的人上车，尤为重要。一旦选错人，代价是惨重的。尤其是候选人级别越高，为公司带来的收益越大、潜在风险也越高！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因此，必须要高度重视招聘工作！必须掌握一套行之有效的方法，来为企业甄选优秀人才！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针对当前目标选才中，企业面试官面临的林林总总招聘困惑，在大量调研基础上，集众多优秀面试官智慧、梳理多年企业招聘实战成功经验、借鉴国内外权威机构对目标选才的研究成果，定制性开发了《高效招聘与面试》。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工作坊基于人才选拔的六维标准基本上，带领学员就模拟个岗位进行岗位画像建模，并完成面试问题设计、仿真面试演练，掌握面试官技巧，为企业甄选匹配的、优质的候选人。</w:t>
      </w: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课程对象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企业内承担面试任务的所有人员，包括管理人员和人力资源相关岗位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223520</wp:posOffset>
            </wp:positionV>
            <wp:extent cx="2798445" cy="2333625"/>
            <wp:effectExtent l="0" t="0" r="8255" b="3175"/>
            <wp:wrapNone/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课程导图及目标选才全景图：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4445</wp:posOffset>
            </wp:positionV>
            <wp:extent cx="2819400" cy="1854200"/>
            <wp:effectExtent l="0" t="0" r="0" b="0"/>
            <wp:wrapNone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184785</wp:posOffset>
            </wp:positionV>
            <wp:extent cx="3115310" cy="2298700"/>
            <wp:effectExtent l="0" t="0" r="8890" b="0"/>
            <wp:wrapNone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授课方式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互动、研讨、练习、角色扮演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课程收益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1. 评估候选人的全新六维标准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 根据模拟岗位现场通过工作坊方式进行岗位标准建模（含关键经历、能力以及动力适配性建模）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3. 简历分析并识别候选人的高产区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4. 根据岗位标准，现场研讨形成该岗位的面试题库并在工作中直接使用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5. 通过真实岗位进行全面模拟面试并进行点评，巩固知识点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6. 招聘中的雇主品牌传播方法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7. 指明目标选才全景视图，包括岗位画像、简历搜寻、现场面试、评价决策，到新人入职后的信心巩固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8. 提示目标选才中的企业风险管理，包括职位信息发布、现场面试话术以及录用通知的注意事项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培训目标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1.明确高效招聘与面试对公司的价值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2.掌握面试要从哪些评价维度来评估候选人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3.掌握岗位画像即简易建模方法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4.掌握选才系统与核心流程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5.掌握挖掘并评估高绩效能力和潜力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6.掌握怎样提问并评估个性、动力及文化适配性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7.面试官技巧强化演练，提高人才选拔质量和效率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8.了解如何在招聘中传播雇主品牌并身体力行</w:t>
      </w: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after="312" w:afterLines="100"/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课程大纲/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Outline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headerReference r:id="rId4" w:type="first"/>
          <w:headerReference r:id="rId3" w:type="default"/>
          <w:pgSz w:w="11906" w:h="16838"/>
          <w:pgMar w:top="1440" w:right="1080" w:bottom="1440" w:left="108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单元一、招聘面面观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1、招聘定位：要人后事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完美的候选人是很难找到的，因此，选什么样的人和如何把人组合到一起更重要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招聘中需要高层级的投入与参与。层级低的人在招人时往往是有顾虑的，担心自己被强的候选人取而代之。所以，招聘工作要确立跨两级的概念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经历分享：发生在身边的招聘故事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分享成功的/体验好的面试经历，总结成功要素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分享失败的面试经历，反思失败原因以及招聘失败造成的代价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2、现场投票：招聘困惑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课程结合大量企业实际招聘困惑，设计调研问卷，就困扰面试官的22条进行现场无记名投票，聚焦投票集中的问题点，进行深入引导和互动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3、招聘成功关键要素总结：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选择正确的维度和方法评估候选人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训练有素的面试官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正确管理选才系统和招聘流程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单元二、评价模型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1、故事讨论：盲人摸象的启示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人才评价标准讨论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企业需要什么样的人，评价一个人要从哪些维度考虑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面试时最看中的有哪些？面试一位候选人，我会从哪些维度进行提问和评估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2、六维人才评价模型框架介绍及定义、应用场景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有没有（关键经历）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知不知（知识技能）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能不能（能力）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久不久（潜力）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合不合（个性）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愿不愿（动力适配性）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六维人才评价体系内，能力是人才战略核心支撑点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示例：某房地产集团的中高层管理人员的六维人才评价标准（用于发展）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示例：某头部财富公司理财师销售岗的六维人才评价标准（用于招聘）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单元三、岗位画像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1、招聘盘点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基于公司战略解码下的人才缺口盘点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2、岗位画像模拟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以某一模拟岗位为例，完成岗位画像建模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ｰ岗位职责澄清，以及需要考虑的维度与方法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ｰ围绕该岗位职责，完成该岗位的六维人才标准画像，为招聘面试方法提供基础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有没有（关键经历）：聚焦该岗位，完成胜任该岗位的正常工作经历、管理经历、逆境经历和风险经历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知不知（知识技能）：聚焦该岗位，完成胜任该岗位所需的行业、企业战略、岗位专业知识以及团队管理与人力资源知识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能不能（能力）：聚焦该岗位，完成胜任该岗位所需的能力素质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久不久（潜力）：研究表明，高潜力人才中，九成以上人员会在不同岗位上实现高绩效。因此，识别高潜力并找到高潜力的标准尤其重要。课程引入权威潜力测评工具，并提出高潜力人员突出表现的特质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合不合（个性）：借助PDP测评工具，总结该岗位优秀人员的个性特质，在此基础上为招聘提供在个性特质上的标杆，提高提高招聘的有效性和准确性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愿不愿（动力适配性）：是指公司所提供的因素能给员工带来个人的满足感，课程详细从职务动力适配性和组织动力适配性两个维度进行探讨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成果总结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3、通过工作坊方式，完成模拟岗位的画像建模，在六个维度建立明确的招聘用人标准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学员可以通过该方法，在企业内部针对高频或重要的招聘岗位，进行岗位画像，建立各岗位招聘标准体系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单元四、招聘流程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1、招聘选才系统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4S招聘选才系统介绍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是指采用统一和循序渐进的程序来收集资料及做出选聘决定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由标准、搜寻、甄选、巩固组成选才系统，系统各环节环环相扣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招聘全景图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全面梳理涉及招聘的各个环节，包括前期准备、网络人才、现场面试、评价决策以及入职后的巩固信心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在每个环节，课程就招聘中重点关注的节点、注意事项等进行全面盘点和辅导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单元五、面试方法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1、结构化行为面试法：评能力、判经验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2、高绩效行为是面试甄选的第一个关键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3、结构化能力面试被验证与绩效结果有强相关性，被广泛应用于招聘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什么是结构化行为面试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结构化行为面试是基于什么样的前提假设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结构化行为面试主要特征、工具优缺点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结构化行为面试如何评估能力的示范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结构化行为面试提问技术介绍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候选人“难搞”的五种情形及应对办法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结构化行为面试追问技术介绍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如何做面试记录，记什么、怎么记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4、反思式面试法：潜力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5、高潜力是面试甄选的第二个关键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反思式面试法工具介绍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围绕“我们到底寻求什么样的信息”深入提问的步骤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反思式面试法的提问设计示范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6、寻找高产区：事件定锚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7、找到高绩效行为的高产区，关注经验和经验的丰富度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学习高产区通常发生的场景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演练：在示范简历中查找高产区并设计问题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8、3W法：动力适配性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根据模拟岗位的动力适配性设计提问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基于本模拟岗位的动力适配性要求，包装公司和团队并向候选人介绍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总结：六维人才标准下，面试问题梳理一览表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单元六、演练点评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1、时间布局及参考话术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2、如何把握面试节奏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控制应征者提供资料的步伐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把讨论带到主题的范围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避免误解资料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有效地控制时间，确保完成面谈的每一部分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3、模拟岗位的面试实战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分析模拟简历，完成高产区事件查找并适当调整面试问题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实战演练：时间安排、角色分工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观察员的任务及反馈要求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演练结果分享：是否达到预期、是否使用方法、哪些环节较难把握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4、面试技巧点评与反馈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如何基于候选人的感受与个人需求，开诚布公进行面试交流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如何面试推进全景图，确保双方聚焦岗位画像进行面试评估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如何在面试中维持主导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如何进行无预设答案的开放式提问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为什么要善用沉默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如何寻找相反的证据，以辨别候选人分享的案例是否真实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怎样有效聆听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如何观察候选人的肢体语言，传递哪些信息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怎么合议面试评估结论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单元七、雇主品牌传播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1、什么是雇主品牌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研讨：在招聘中如何传递雇主品牌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在面试中，我们反对什么，我们倡导什么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面试中哪些行为影响雇主品牌传播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总结：招聘中传递雇主品牌的“四化”策略</w:t>
      </w:r>
    </w:p>
    <w:p>
      <w:pPr>
        <w:snapToGrid w:val="0"/>
        <w:rPr>
          <w:rFonts w:ascii="微软雅黑" w:hAnsi="微软雅黑" w:eastAsia="微软雅黑" w:cs="Calibri"/>
          <w:b/>
          <w:color w:val="2F5496"/>
          <w:kern w:val="0"/>
          <w:sz w:val="20"/>
          <w:szCs w:val="20"/>
        </w:rPr>
      </w:pPr>
      <w:r>
        <w:rPr>
          <w:rFonts w:hint="eastAsia" w:ascii="微软雅黑" w:hAnsi="微软雅黑" w:eastAsia="微软雅黑" w:cs="Calibri"/>
          <w:b/>
          <w:color w:val="2F5496"/>
          <w:kern w:val="0"/>
          <w:sz w:val="20"/>
          <w:szCs w:val="20"/>
        </w:rPr>
        <w:t>2、相关法律要素考虑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招聘信息发布的法律风险（禁止就业歧视）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录用通知制作规范与合规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招聘入职环节法律风险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视频讨论与要点梳理：结构化行为面试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1906" w:h="16838"/>
          <w:pgMar w:top="1440" w:right="1080" w:bottom="1440" w:left="1080" w:header="851" w:footer="992" w:gutter="0"/>
          <w:pgNumType w:start="0"/>
          <w:cols w:space="427" w:num="2" w:sep="1"/>
          <w:titlePg/>
          <w:docGrid w:type="lines" w:linePitch="312" w:charSpace="0"/>
        </w:sectPr>
      </w:pP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after="312" w:afterLines="10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讲师介绍/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Lecturer</w:t>
      </w: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沈老师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法学硕士，多项测评认证师，中级经济师/政工师，大学生公益辅导师，三级心理咨询师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先后在央企、民企和国内头部财富公司担任重要管理岗位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近20年从业经历，10多年团队管理经验，6年人力资源负责人，3年企业大学负责人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主导人力资源体系规划、筹建和运营企业大学、管理数百名领导力内训师、搭建企业测评中心、人才梯队及培养、主导素质模型建模、企业知识库管理及大学生职业规划等项目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测评认证：DDI的FCW/MAX全球领导力精要认证/绩效管理认证；光辉国际Leadership Architect 101/CHOICES Architect/ Voice 360 Feedback认证；美国领导特质分析系统PDP认证；北森测评专家认证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内训：测评类课程（PDP等测评工具解读及职场沟通技巧、岗位建模、潜力测评、个人IDP、BEI结构化行为面试）、问题解决类工作坊（战略解码与执行力工作坊、面试官工作坊等）、职场技能类（教练式辅导、客户导向和创造双赢、职场沟通与有力表达等）、实践分享类（企业测评中心建立、人才盘点等），年企业内训受众面千人次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资源优势：有地产、金融、创业公司等多个行业人脉圈；有企业高层、人力资源、企业大学校长等多个跨界人脉圈；接受过人才测评、组织发展、能力建模及职业规划等体系化训练和实战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主导项目：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企业大学 筹建中国电信学院、爱登堡电梯商学院、爱登堡电梯职业技术培训学校（对外运营）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人才测评 建立复地集团人才测评系统，为任命和发展提供依据，在复星人力条线专题分享与推广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知识管理 建立复地集团知识管理系统，为企业内低成本、针对性学习提供平台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体系建设 主导公司全面搭建人力资源体系、建立公司及部门标准化工作手册、岗位标准化手册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人才盘点 完成复地集团现岗（城市总/项目总）/继任者/营销/人力资源条线的人才标准、岗位建模、人才测评等项目，主导复地集团测评案例的开发和应用，成为地产关键人才建设的样板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内训师搭建 建立和运营中国电信领导力内训师队伍约500余人，推进全集团的中基层领导力培养项目落地；推广中国电信“领导力之旅”品牌项目，为中国电信各省公司的中层干部提供内部咨询和解决方案（市场收费）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所获荣誉：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复地学院 CST天最佳学习型企业奖、最佳人才实践、菁英奖、企业大学最佳品牌奖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中国电信学院 AST天最佳实践提名奖和《商业评论》管理行动金奖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人拟写的《中国电信2008-2009年度领导力发展现状与需求调研报告》获中国电信思想政治工作研究成果一等奖；《构建和实施基于战略的领导力发展体系》获第六届全国通信行业管理现代化创新一等奖；《上海电信员工全面发展白皮书》获2004年度中国邮电职工思想政治工作优秀研究成果一等奖等。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深度合作：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与光辉国际、DDI、中欧、IBM等进行深度合作，并就有较好的项目落地经验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主讲课程：</w:t>
      </w:r>
    </w:p>
    <w:p>
      <w:pPr>
        <w:snapToGrid w:val="0"/>
        <w:rPr>
          <w:rFonts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测评类课程：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专业岗位的能力建模工作坊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领导力潜质测评与应用（学习敏锐度） 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基于素质模型的个人能力提升工作坊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企业面试官技术训练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BEI行为事件访谈技巧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职场知己知彼的沟通艺术（MBTI） 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发现优势 迈向成功（性格色彩） 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领导特质分析系统PDP测评与解读 </w:t>
      </w:r>
    </w:p>
    <w:p>
      <w:pPr>
        <w:snapToGrid w:val="0"/>
        <w:rPr>
          <w:rFonts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职场技能类：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关键时刻：为客户着想和创造双赢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职场沟通与有力表达技巧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跨部门沟通与协调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时间管理</w:t>
      </w:r>
    </w:p>
    <w:p>
      <w:pPr>
        <w:snapToGrid w:val="0"/>
        <w:rPr>
          <w:rFonts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工作解决类工作坊：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战略解码与执行力工作坊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将绩效进行到底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教练式辅导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打造高绩效团队（管人&amp;做事）</w:t>
      </w:r>
    </w:p>
    <w:p>
      <w:pPr>
        <w:numPr>
          <w:ilvl w:val="0"/>
          <w:numId w:val="0"/>
        </w:numPr>
        <w:snapToGrid w:val="0"/>
        <w:ind w:left="420" w:hanging="42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问题解决式的思维训练 </w:t>
      </w:r>
    </w:p>
    <w:p>
      <w:pPr>
        <w:numPr>
          <w:ilvl w:val="0"/>
          <w:numId w:val="0"/>
        </w:numPr>
        <w:snapToGrid w:val="0"/>
        <w:ind w:left="420" w:hanging="42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房地产公司管理梯队建设与项目总经理后备梯队培养</w:t>
      </w:r>
      <w:bookmarkStart w:id="1" w:name="_GoBack"/>
      <w:bookmarkEnd w:id="1"/>
    </w:p>
    <w:sectPr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D8D8D8" w:themeColor="background1" w:themeShade="D9" w:sz="6" w:space="8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83525"/>
    <w:multiLevelType w:val="singleLevel"/>
    <w:tmpl w:val="911835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ZTY3ZWExNWMzOTkwNTZkMTk0MzY3M2NlZTI0ZDkifQ=="/>
  </w:docVars>
  <w:rsids>
    <w:rsidRoot w:val="00F714DB"/>
    <w:rsid w:val="00000D36"/>
    <w:rsid w:val="00001820"/>
    <w:rsid w:val="00001E13"/>
    <w:rsid w:val="0001264D"/>
    <w:rsid w:val="0005729C"/>
    <w:rsid w:val="000811E7"/>
    <w:rsid w:val="00093753"/>
    <w:rsid w:val="000972E5"/>
    <w:rsid w:val="000A5071"/>
    <w:rsid w:val="000B4F4D"/>
    <w:rsid w:val="000B6953"/>
    <w:rsid w:val="000C2DE4"/>
    <w:rsid w:val="000C6B71"/>
    <w:rsid w:val="000D00F3"/>
    <w:rsid w:val="000D2FB6"/>
    <w:rsid w:val="000D30E2"/>
    <w:rsid w:val="000D5059"/>
    <w:rsid w:val="000E2E70"/>
    <w:rsid w:val="000F0336"/>
    <w:rsid w:val="000F18FB"/>
    <w:rsid w:val="00105F20"/>
    <w:rsid w:val="00121BF6"/>
    <w:rsid w:val="001429BB"/>
    <w:rsid w:val="00144F16"/>
    <w:rsid w:val="00157DF4"/>
    <w:rsid w:val="00166538"/>
    <w:rsid w:val="00192FC9"/>
    <w:rsid w:val="001A2122"/>
    <w:rsid w:val="001E66C7"/>
    <w:rsid w:val="00200D0D"/>
    <w:rsid w:val="002037FD"/>
    <w:rsid w:val="002240A6"/>
    <w:rsid w:val="00240DB0"/>
    <w:rsid w:val="0024634F"/>
    <w:rsid w:val="00246A61"/>
    <w:rsid w:val="00265065"/>
    <w:rsid w:val="002734E9"/>
    <w:rsid w:val="002879A9"/>
    <w:rsid w:val="002A2EC8"/>
    <w:rsid w:val="002E44F4"/>
    <w:rsid w:val="002E6048"/>
    <w:rsid w:val="00315F01"/>
    <w:rsid w:val="00334BD0"/>
    <w:rsid w:val="0038328D"/>
    <w:rsid w:val="00386480"/>
    <w:rsid w:val="003D00C1"/>
    <w:rsid w:val="003D1023"/>
    <w:rsid w:val="003E548E"/>
    <w:rsid w:val="0040253D"/>
    <w:rsid w:val="0040546D"/>
    <w:rsid w:val="00406C6E"/>
    <w:rsid w:val="00432F80"/>
    <w:rsid w:val="004437BD"/>
    <w:rsid w:val="00455591"/>
    <w:rsid w:val="00456634"/>
    <w:rsid w:val="0046061B"/>
    <w:rsid w:val="004638B4"/>
    <w:rsid w:val="00465AA2"/>
    <w:rsid w:val="00475061"/>
    <w:rsid w:val="00475F80"/>
    <w:rsid w:val="00494FD1"/>
    <w:rsid w:val="00496524"/>
    <w:rsid w:val="004A25F7"/>
    <w:rsid w:val="004B15F8"/>
    <w:rsid w:val="004B6C25"/>
    <w:rsid w:val="004F5A63"/>
    <w:rsid w:val="0050394A"/>
    <w:rsid w:val="005060B5"/>
    <w:rsid w:val="0053566B"/>
    <w:rsid w:val="00553F37"/>
    <w:rsid w:val="00557C76"/>
    <w:rsid w:val="005704AF"/>
    <w:rsid w:val="00575F91"/>
    <w:rsid w:val="00584057"/>
    <w:rsid w:val="00591350"/>
    <w:rsid w:val="00597136"/>
    <w:rsid w:val="005D1179"/>
    <w:rsid w:val="006235DC"/>
    <w:rsid w:val="0062637A"/>
    <w:rsid w:val="00631E4A"/>
    <w:rsid w:val="006700BC"/>
    <w:rsid w:val="006906C3"/>
    <w:rsid w:val="006913D6"/>
    <w:rsid w:val="006B0256"/>
    <w:rsid w:val="006F066C"/>
    <w:rsid w:val="00700CE0"/>
    <w:rsid w:val="007073B7"/>
    <w:rsid w:val="00711660"/>
    <w:rsid w:val="0072656E"/>
    <w:rsid w:val="00740791"/>
    <w:rsid w:val="00743178"/>
    <w:rsid w:val="00743F3D"/>
    <w:rsid w:val="00746361"/>
    <w:rsid w:val="00754229"/>
    <w:rsid w:val="00763E37"/>
    <w:rsid w:val="0078512D"/>
    <w:rsid w:val="007B79C3"/>
    <w:rsid w:val="007C5296"/>
    <w:rsid w:val="007C7038"/>
    <w:rsid w:val="007E092A"/>
    <w:rsid w:val="007F51DC"/>
    <w:rsid w:val="0082321B"/>
    <w:rsid w:val="0083733B"/>
    <w:rsid w:val="00862756"/>
    <w:rsid w:val="008763A5"/>
    <w:rsid w:val="008B0996"/>
    <w:rsid w:val="008D557D"/>
    <w:rsid w:val="008E6068"/>
    <w:rsid w:val="008F7081"/>
    <w:rsid w:val="00906610"/>
    <w:rsid w:val="009227D4"/>
    <w:rsid w:val="00935A19"/>
    <w:rsid w:val="00950A3D"/>
    <w:rsid w:val="0097330E"/>
    <w:rsid w:val="00986036"/>
    <w:rsid w:val="009B7D90"/>
    <w:rsid w:val="009C4E97"/>
    <w:rsid w:val="009E7966"/>
    <w:rsid w:val="009F4BE3"/>
    <w:rsid w:val="00A033C9"/>
    <w:rsid w:val="00A31DAF"/>
    <w:rsid w:val="00A46DE3"/>
    <w:rsid w:val="00A51D0D"/>
    <w:rsid w:val="00A61C27"/>
    <w:rsid w:val="00A964A0"/>
    <w:rsid w:val="00AA5B83"/>
    <w:rsid w:val="00AB224A"/>
    <w:rsid w:val="00AB2650"/>
    <w:rsid w:val="00AC2C20"/>
    <w:rsid w:val="00AC3704"/>
    <w:rsid w:val="00AD62B6"/>
    <w:rsid w:val="00AE1024"/>
    <w:rsid w:val="00AF6FA1"/>
    <w:rsid w:val="00B33330"/>
    <w:rsid w:val="00B50E12"/>
    <w:rsid w:val="00B57392"/>
    <w:rsid w:val="00B70063"/>
    <w:rsid w:val="00B71426"/>
    <w:rsid w:val="00B75CF2"/>
    <w:rsid w:val="00B772E9"/>
    <w:rsid w:val="00B87FEC"/>
    <w:rsid w:val="00B92A49"/>
    <w:rsid w:val="00B94E91"/>
    <w:rsid w:val="00B963B5"/>
    <w:rsid w:val="00BB3FA9"/>
    <w:rsid w:val="00BC62DF"/>
    <w:rsid w:val="00BC7360"/>
    <w:rsid w:val="00BC7513"/>
    <w:rsid w:val="00BF2D25"/>
    <w:rsid w:val="00BF69D7"/>
    <w:rsid w:val="00C0313B"/>
    <w:rsid w:val="00C17061"/>
    <w:rsid w:val="00C227E6"/>
    <w:rsid w:val="00C41006"/>
    <w:rsid w:val="00C823ED"/>
    <w:rsid w:val="00C85ECD"/>
    <w:rsid w:val="00CA1923"/>
    <w:rsid w:val="00CD0251"/>
    <w:rsid w:val="00CF024D"/>
    <w:rsid w:val="00D02FD4"/>
    <w:rsid w:val="00D1147D"/>
    <w:rsid w:val="00D14FA6"/>
    <w:rsid w:val="00D20B7F"/>
    <w:rsid w:val="00D55BCB"/>
    <w:rsid w:val="00D55EAF"/>
    <w:rsid w:val="00D6636D"/>
    <w:rsid w:val="00D8207C"/>
    <w:rsid w:val="00D90E67"/>
    <w:rsid w:val="00D9155D"/>
    <w:rsid w:val="00DA08D3"/>
    <w:rsid w:val="00DB641F"/>
    <w:rsid w:val="00DC3C85"/>
    <w:rsid w:val="00DE3D62"/>
    <w:rsid w:val="00DE4719"/>
    <w:rsid w:val="00E01169"/>
    <w:rsid w:val="00E2057B"/>
    <w:rsid w:val="00E21934"/>
    <w:rsid w:val="00E4393B"/>
    <w:rsid w:val="00E60F34"/>
    <w:rsid w:val="00E84E17"/>
    <w:rsid w:val="00E934AD"/>
    <w:rsid w:val="00EA11C1"/>
    <w:rsid w:val="00EA243D"/>
    <w:rsid w:val="00EA59B0"/>
    <w:rsid w:val="00ED4C5E"/>
    <w:rsid w:val="00F006AC"/>
    <w:rsid w:val="00F325F5"/>
    <w:rsid w:val="00F501C5"/>
    <w:rsid w:val="00F714DB"/>
    <w:rsid w:val="00F779EA"/>
    <w:rsid w:val="00F8000F"/>
    <w:rsid w:val="00F80D7E"/>
    <w:rsid w:val="00F9020B"/>
    <w:rsid w:val="00FC6B08"/>
    <w:rsid w:val="00FD6287"/>
    <w:rsid w:val="00FF2D27"/>
    <w:rsid w:val="07F962FE"/>
    <w:rsid w:val="09CD6ADB"/>
    <w:rsid w:val="0BAB2AA6"/>
    <w:rsid w:val="0D79729C"/>
    <w:rsid w:val="16F01BAE"/>
    <w:rsid w:val="19B04999"/>
    <w:rsid w:val="1E062937"/>
    <w:rsid w:val="1E596016"/>
    <w:rsid w:val="26961068"/>
    <w:rsid w:val="283C370B"/>
    <w:rsid w:val="2D881F35"/>
    <w:rsid w:val="30823292"/>
    <w:rsid w:val="33D67D9E"/>
    <w:rsid w:val="343A49EF"/>
    <w:rsid w:val="35A76C11"/>
    <w:rsid w:val="3D706408"/>
    <w:rsid w:val="3EB8577A"/>
    <w:rsid w:val="40694322"/>
    <w:rsid w:val="44930501"/>
    <w:rsid w:val="45DE2E69"/>
    <w:rsid w:val="474F16D5"/>
    <w:rsid w:val="47DD3675"/>
    <w:rsid w:val="490D02B0"/>
    <w:rsid w:val="4C446B53"/>
    <w:rsid w:val="4FC13BD7"/>
    <w:rsid w:val="504E4875"/>
    <w:rsid w:val="563C20C3"/>
    <w:rsid w:val="564A5654"/>
    <w:rsid w:val="58321D0D"/>
    <w:rsid w:val="5AD702ED"/>
    <w:rsid w:val="5B02690F"/>
    <w:rsid w:val="5D564F66"/>
    <w:rsid w:val="5DE055FE"/>
    <w:rsid w:val="64CD637E"/>
    <w:rsid w:val="6CF72F3D"/>
    <w:rsid w:val="702F13E2"/>
    <w:rsid w:val="71F92EA9"/>
    <w:rsid w:val="778E6EBB"/>
    <w:rsid w:val="783469E8"/>
    <w:rsid w:val="79B87878"/>
    <w:rsid w:val="79C8563A"/>
    <w:rsid w:val="7DA22F08"/>
    <w:rsid w:val="7E723DC7"/>
    <w:rsid w:val="7F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E5E0-F2EA-4BA1-BC14-B3A66A82A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4355</Characters>
  <Lines>36</Lines>
  <Paragraphs>10</Paragraphs>
  <TotalTime>6</TotalTime>
  <ScaleCrop>false</ScaleCrop>
  <LinksUpToDate>false</LinksUpToDate>
  <CharactersWithSpaces>5108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诺达名师-蒋老师18188609073</cp:lastModifiedBy>
  <dcterms:modified xsi:type="dcterms:W3CDTF">2022-12-09T04:31:51Z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E1FDD09F4F6D45E0A9385DA46B82129B</vt:lpwstr>
  </property>
</Properties>
</file>