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人力成本分析与管控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课程费用：4200元/人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课程地点：深圳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课程背景：</w:t>
      </w:r>
    </w:p>
    <w:p>
      <w:pPr>
        <w:pStyle w:val="5"/>
        <w:spacing w:before="0" w:beforeAutospacing="0" w:after="0" w:afterAutospacing="0" w:line="46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随着社会和经济的发展，企业的招工成本和用工成本都在增长，市场竞争异常激烈，企业的经营压力可想而知。政策背景下，企业可以开展哪些工作进行人工成本的管控从而提升效率，是企业持续关注的热点。</w:t>
      </w:r>
    </w:p>
    <w:p>
      <w:pPr>
        <w:spacing w:line="460" w:lineRule="exact"/>
        <w:ind w:firstLine="440" w:firstLineChars="200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在用工成本管控的实践中，存在着大量诸如此类的疑惑：企业的用工成本到底有哪些？企业如何做到既能保证员工的正常工资增长需求，又能合理管控人工成本支出？如何对分公司或部门制定科学的人工成本目标并实施管控？员工“磨洋工”，出工不出力等问题怎么解决？高额的加班费支出怎么管控？月度奖金怎么发，发多少？年终奖按什么标准发？怎样合理避税，提高资金使用效率？如何规避劳动用工风险，减少经济补偿金的支出等等的问题。本课程，老师将基于企业十多年的一线工作经验，结合大量案例给予明确的答案。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课程收益：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明确企业人工成本的组成与分析方法；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学会对分公司或下设部门的人工成本实施有效管控的方法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学会制定企业人工成本管控目标值的方法；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明确劳动定额的制定方法；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学会企业加班费的管控办法；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学会企业浮动工资总额的设置方法，用好奖金的调节作用；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学会合理避税等提高企业资金效率的方法；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● 掌握企业管控用工成本的十种方法；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课程时间：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2天，6小时/天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课程对象：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经营管理层、人力资源总监、经理、部门经理、主管等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课程方式：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讲授、小组讨论、案例研讨、现场互动等。</w:t>
      </w:r>
    </w:p>
    <w:p>
      <w:pPr>
        <w:spacing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课程大纲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第一讲：企业用工成本分析与相关概念解读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某企业人工成本管控的案例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一、企业用工成本的组成及衡量标准比较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  <w:t>1. 人工成本的内容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1）工资总额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2）福利项目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3）人力资源管理费用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4）其他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  <w:t>2. 企业人工成本管控情况的衡量指标及其比较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1）人工成本支出绝对值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2）人均工资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3）人均产值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4）人员费用比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二、人工成本与工资总额的区别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人工成本的组成部分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人工成本管控的重点方向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三、盈亏平衡点在用工成本管控中的应用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盈亏平衡点的计算方法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盈亏平衡点的应用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练习：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掌握数据分析的常用方法与技巧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第二讲：对分公司或下设部门进行人工成本的管控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某企业人工成本管控方案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一、制定管控目标值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历史数据盘点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参考市场数据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3. 目标值制定的原则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二、奖惩办法的制定与落实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如何制定明确的奖惩办法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：某大型汽车企业的考核奖惩方案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落实奖惩应注意的问题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三、做好过程监控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数据的及时统计与分析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建立正式的工作沟通机制，及时反馈执行过程中的问题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：某大型汽车企业的人工成本管控专项会议制度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四、用好人工成本的调节手段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各分公司或下属部门的奖金池调节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各分公司或下属部门的调薪额度调节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3. 各分公司或下属部门的加班费总额调节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4. 各分公司或下属部门的年终奖金总额调节</w:t>
      </w:r>
    </w:p>
    <w:p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第三讲：人工成本管控的具体措施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一、明确企业的人工成本预算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分头预算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总体控制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 个案执行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二、明确生产定额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泰勒与《科学管理原理》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“搬运生铁块试验“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“铁锹实验”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手工劳动者的工作定额制定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脑力劳动者的工作定额制定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：某大型汽车企业的劳动定额工作推行实例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三、推行定额，优化薪酬分配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大型汽车企业的计件案例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如何制定定额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如何制定计件单价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四、科学管控加班费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如何计算加班费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关于加班费的法律解读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比管控人数更好的方法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五、发挥奖金在工资总额管控方面的调节作用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浮动工资总额的确定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浮动工资总额的分配方案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员工奖金的计算实例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六、企业调薪政策的设计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某大型企业调薪政策解读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调薪额度下发方案比较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调薪周期与人工成本的微妙关系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互动：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什么样的员工应该多调薪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七、如何合理避税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个人所得税的计算规则讲解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绩效考核周期选择与员工收入的比较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 年终奖纳税与工资纳税的区别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企业是否应该去设置年终奖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5、年终奖的设计方案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八、企业人工成本管控表的设计与应用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管控表的设计思路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具体应用与分析思路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某大型企业人工成本管控方案分享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学员之间互相分享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九、识别企业有效人工支出和无效的人工支出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有效的人工支出有哪些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无效支出的形式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 如何规避无效支出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十、降低人力资源管理过程中的运行成本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 如何管控招聘费用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 如何管理培训费用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 如何降低企业劳动争议的费用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互动：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什么情况下可以支付经济补偿金</w:t>
      </w:r>
    </w:p>
    <w:p>
      <w:pPr>
        <w:widowControl/>
        <w:spacing w:line="460" w:lineRule="exact"/>
        <w:jc w:val="lef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案例：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关于员工解除劳动合同的情形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1）经济补偿金的计算标准问题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2）赔偿金与经济补偿金的区别</w:t>
      </w:r>
    </w:p>
    <w:p>
      <w:pPr>
        <w:pStyle w:val="5"/>
        <w:spacing w:before="0" w:beforeAutospacing="0" w:after="0" w:afterAutospacing="0"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3）如何减少企业支付经济补偿金的成本支出</w:t>
      </w:r>
    </w:p>
    <w:p>
      <w:pPr>
        <w:spacing w:line="360" w:lineRule="auto"/>
        <w:rPr>
          <w:rFonts w:asciiTheme="minorEastAsia" w:hAnsiTheme="minorEastAsia" w:eastAsiaTheme="minorEastAsia" w:cstheme="minorEastAsia"/>
          <w:bCs/>
          <w:sz w:val="22"/>
          <w:szCs w:val="22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Cs/>
          <w:sz w:val="22"/>
          <w:szCs w:val="22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Cs/>
          <w:sz w:val="22"/>
          <w:szCs w:val="2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95250</wp:posOffset>
            </wp:positionV>
            <wp:extent cx="1548765" cy="2321560"/>
            <wp:effectExtent l="0" t="0" r="5715" b="10160"/>
            <wp:wrapSquare wrapText="bothSides"/>
            <wp:docPr id="18" name="图片 3" descr="eef8e005af26cf5dcc627c844de2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ef8e005af26cf5dcc627c844de25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王弘力老师简介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人力资源管理实战专家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国家一级人力资源管理师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安徽大学人力资源管理专业毕业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（国内较早一批人力资源科班生）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管理咨询师、高级企业培训师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某知名品牌汽车企业人力资源负责人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广州新快报社、管理论坛沙龙特约讲师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全国300余场，10000余人的授课经历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10多年20万人企业的人力资源管理实操和管理经验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历任：知名品牌汽车企业丨人事科员、考核主管、人事负责人等职位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现任：知名品牌汽车企业丨人才发展管理专家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擅长领域：人力资源管理体系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实战经验：</w:t>
      </w:r>
    </w:p>
    <w:p>
      <w:pPr>
        <w:spacing w:line="460" w:lineRule="exac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近9000名员工的全面的人力资源管理工作经验，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精通员工招聘、培训体系建设、绩效考核和薪酬体系设计。特别在劳动定额管理，用工成本管控方面成绩突出。</w:t>
      </w:r>
    </w:p>
    <w:p>
      <w:pPr>
        <w:spacing w:line="460" w:lineRule="exac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管理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汽车研发事业部、采购事业部、品质事业部、模具中心和生产事业部1万多人的绩效管理工作。期间制定多项绩效考核方案，成效显著，至今仍在推广使用。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ind w:left="330" w:hanging="330" w:hangingChars="150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负责公司最核心部门----6000余名研发人才的发展通道和任职资格标准体系建设工作，构建了各类人才的发展通道和任职资格体系。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组织到清华、北大等全国过半数的211大学进行校园招聘，同时联系几十家的劳务派遣机构，引进近千人的管理和技术人员队伍，招聘一线生产员工达一万余人，帮助企业顺利度过用工荒。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在担任人事负责人的7年时间里，汽车的销量在逐年增长，由于劳动生产率的大幅提升，员工人数降低近40%，大幅减少了人工成本。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组建事业部培训中心，形成了健全的培训体系，形成了管理人员的“A计划”、日常培训“天天课堂”、基层管理者的“金牌班组长”等系列培训课程体系。</w:t>
      </w:r>
    </w:p>
    <w:p>
      <w:pPr>
        <w:spacing w:line="460" w:lineRule="exac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长期在公司内部担任讲师工作，是公司公认的优秀讲师，16年代表全公司参加深圳市政府组织的讲师竞赛，荣获冠军。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从11年开始讲授人力资源管理方面的课程，精通人力资源管理的六大模块理论知识和实际操作。授课累计300多场，受训学员达10000多人，广受学员好评。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主讲课程：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1、《实战招聘》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2、《人才测评技术》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3、《企业培训体系搭建》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4、《企业定岗定编实操》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5、《企业人力资源规划》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6、《人力资源管理概论》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7、《举案说法》（劳动法）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8、《企业绩效管理体系搭建》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9、《企业用工成本分析与管控》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10、《企业薪酬体系设计与应用》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11、《组织设计与企业核心人才培养》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12、《非人力资源经理的人力资源管理》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13、《企业绩效和薪酬体系的一体化设计》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14、《企业人才发展与任职资格体系建设》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15、《人力资源管理数据的分析与应对策略》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16、《EXCEL技巧在人力资源管理中的应用》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17、《制造业劳动定额管理与企业用工成本管理之道》 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 xml:space="preserve">授课风格： 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460" w:lineRule="exact"/>
        <w:ind w:left="420" w:hanging="420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“干货多，案例丰富，理论联系实际”这是学员最为集中的评价；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460" w:lineRule="exact"/>
        <w:ind w:left="420" w:hanging="420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</w:rPr>
        <w:t>科班出身，专业理论扎实，且理论的讲解绝不枯燥。讲课激情，课堂氛围活跃；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460" w:lineRule="exact"/>
        <w:ind w:left="420" w:hanging="420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非常注重课程内容的设计与提炼，授课方式活泼有趣，此方面在深圳的讲师竞赛中脱颖而出，荣获冠军。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460" w:lineRule="exact"/>
        <w:ind w:left="420" w:hanging="420"/>
        <w:jc w:val="both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10多年20多万人企业的的一线工作经验，积累了大量的一手案例，并且讲解深刻，发人深省，可以为企业提供最直接的借鉴；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 xml:space="preserve">部分服务客户： 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深圳中鹏培训、广州锐旗培训、贵州兴黔人才大市场、富士康科技集团、比亚迪股份有限公司、广州红日培训集团、广州新快报社、贵阳日报社、中国水利水电第九工程局、华夏航空股份有限公司、科士达科技股份有限公司、中国铁建、广裕达贸易、住友电工、劳尔科技、华正联实业、深圳市古玩城文物监管物品有限公司、万利加集团、银河明星珠宝（深圳）有限公司、深圳市蓝天教育培训学校 、深圳书城培训、深圳市劲毅科技有限公司、纵腾贸易有限公司、阿里山文化传播有限公司、亿阳信通有限公司、深圳市响法品牌顾问有限公司、深圳市七彩物联科技有限公司、贵州玉蝶电缆有限公司、贵州西洋肥业有限公司、贵州洪美贸易有限公司、贵州一路行工贸易有限公司、黔商小额贷款股份有限公司、贵州孚格泛太教育信息咨询有限公司、贵州省印刷物资公司、双龙航空港物业管理有限公司、贵州文兴投资控股有限公司、贵州轮胎股份有限公司、贵州西林书业有限公司、深圳市野鸣新型建材有限公司、深圳市仁豪家具发展有限公司、惠州市迪诺发展有限公司、东莞市泓泰龙仓储服务有限公司、深圳市宝鹰实业集团有限公司、深圳市宝鸿房地产 开发有限公司、深圳市大金州实业有限公司、深圳市团结实业有限公司、深圳市世纪龙房地产开发有限公司、贵阳火车站、观投集团、雀巢、银亨融通、成都铁路局、富德生命人寿、新东方、贵航技校、景峰制药、深圳慧识管理咨询公司、雅光电子、贵州省人才市场、黔晟国贸、德坤置业、贵阳职业技术学院、上海国磊、山子信息、江泰保险经纪、鸿宇集团、贵州金煌、天安药业、贵州易通医药、贵州影视</w:t>
      </w: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 xml:space="preserve">部分客户评价： </w:t>
      </w:r>
    </w:p>
    <w:p>
      <w:pPr>
        <w:spacing w:line="460" w:lineRule="exac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    自己开公司十几年了，越来越觉得在公司人员管理上有点棘手，虽然请了专业人事，但还是觉得跟不上。之前对于人力资源管理工作比较模糊，没想到遇到了王老师，他讲课风格条理清晰，案例丰富，风趣幽默，让我对人力资源管理有了非常全面的认识，通过这些学习，也让我的公司管理上了一层楼。真的非常感谢王老师的指导！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——深圳市七彩物联科技有限公司总经理王晓红</w:t>
      </w:r>
    </w:p>
    <w:p>
      <w:pPr>
        <w:spacing w:line="460" w:lineRule="exact"/>
        <w:ind w:firstLine="480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王老师的课很精彩，是我上过的所有老师中课程最精彩的。王老师教学认真，课堂效率高，授课内容详细，气氛活跃，通过课程的学习，我们都感觉大有收获。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——贵州玉蝶电缆有限公司人力总监 宗芳</w:t>
      </w:r>
    </w:p>
    <w:p>
      <w:pPr>
        <w:spacing w:line="460" w:lineRule="exact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    王老师理论功底非常扎实，授课中理论联系实际，循循善诱，平易近人。注重启发和调动学员的积极性，课堂气氛活跃。老师实践经验丰富，案例随手拈来。重点内容，老师总是结合板书讲解，且板书工整，极大的提高了学员对课程内容的掌握。王老师真是一名不可多得的良师益友！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——贵州西洋肥业人力资源部绩效办主任 王娜</w:t>
      </w:r>
    </w:p>
    <w:p>
      <w:pPr>
        <w:spacing w:line="460" w:lineRule="exact"/>
        <w:ind w:firstLine="440" w:firstLineChars="200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出社会多年，以为培训机构的老师上课都会很枯燥，学不下去，没想到王老师的讲课风格是那么幽默，感觉非常不错，听课效果很好，学到很多。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——纵腾贸易人事主管 吴女士</w:t>
      </w:r>
    </w:p>
    <w:p>
      <w:pPr>
        <w:spacing w:line="460" w:lineRule="exact"/>
        <w:ind w:firstLine="440" w:firstLineChars="200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王老师教学认真，课堂干货多，效率高，气氛活跃，一天的课程收获太多。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——亿阳信通有限公司行政人事专员 彭姜盈</w:t>
      </w:r>
    </w:p>
    <w:p>
      <w:pPr>
        <w:spacing w:line="460" w:lineRule="exact"/>
        <w:ind w:firstLine="440" w:firstLineChars="200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王老师是我在中鹏认识的所有老师中最具大师风范的，既博学又实干，除了学识，人品也过硬，没有商业性的浮夸。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——深圳中鹏培训福田校区 石柔</w:t>
      </w:r>
    </w:p>
    <w:p>
      <w:pPr>
        <w:spacing w:line="460" w:lineRule="exact"/>
        <w:ind w:firstLine="330" w:firstLineChars="150"/>
        <w:rPr>
          <w:rFonts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上这个培训班最幸运的是遇到王老师这样的好老师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——广州锐旗培训学员 王珊珊</w:t>
      </w:r>
    </w:p>
    <w:p>
      <w:pPr>
        <w:spacing w:line="460" w:lineRule="exact"/>
        <w:ind w:firstLine="440" w:firstLineChars="200"/>
        <w:jc w:val="lef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王老师课上的真好，容易听懂，容易理解。</w:t>
      </w:r>
    </w:p>
    <w:p>
      <w:pPr>
        <w:spacing w:line="460" w:lineRule="exact"/>
        <w:jc w:val="right"/>
        <w:rPr>
          <w:rFonts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——深圳中鹏培训福田校区  何彩琼</w:t>
      </w:r>
    </w:p>
    <w:p>
      <w:pPr>
        <w:spacing w:line="360" w:lineRule="exact"/>
        <w:ind w:left="420" w:leftChars="200"/>
        <w:rPr>
          <w:rFonts w:asciiTheme="minorEastAsia" w:hAnsiTheme="minorEastAsia" w:eastAsiaTheme="minorEastAsia" w:cstheme="minorEastAsia"/>
          <w:bCs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276" w:right="991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4819"/>
        <w:tab w:val="left" w:pos="8610"/>
        <w:tab w:val="right" w:pos="9639"/>
        <w:tab w:val="clear" w:pos="4153"/>
        <w:tab w:val="clear" w:pos="830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247DD7"/>
    <w:rsid w:val="000025DF"/>
    <w:rsid w:val="00010636"/>
    <w:rsid w:val="00042A2E"/>
    <w:rsid w:val="00042DAA"/>
    <w:rsid w:val="00075B72"/>
    <w:rsid w:val="00087C73"/>
    <w:rsid w:val="00097EFE"/>
    <w:rsid w:val="000A2046"/>
    <w:rsid w:val="000C187B"/>
    <w:rsid w:val="00114C27"/>
    <w:rsid w:val="00130D0A"/>
    <w:rsid w:val="001379A9"/>
    <w:rsid w:val="00180852"/>
    <w:rsid w:val="001A6848"/>
    <w:rsid w:val="001B66FF"/>
    <w:rsid w:val="001C5472"/>
    <w:rsid w:val="001D3182"/>
    <w:rsid w:val="001E566C"/>
    <w:rsid w:val="001F42A4"/>
    <w:rsid w:val="002022C4"/>
    <w:rsid w:val="00206B5E"/>
    <w:rsid w:val="00211033"/>
    <w:rsid w:val="00213266"/>
    <w:rsid w:val="00221455"/>
    <w:rsid w:val="002251C1"/>
    <w:rsid w:val="00247DD7"/>
    <w:rsid w:val="003623FF"/>
    <w:rsid w:val="003710C6"/>
    <w:rsid w:val="003732B1"/>
    <w:rsid w:val="00376113"/>
    <w:rsid w:val="00383C72"/>
    <w:rsid w:val="00390697"/>
    <w:rsid w:val="003957C1"/>
    <w:rsid w:val="003C194F"/>
    <w:rsid w:val="003C1C12"/>
    <w:rsid w:val="003E6732"/>
    <w:rsid w:val="003F134B"/>
    <w:rsid w:val="004476E6"/>
    <w:rsid w:val="004F2BE1"/>
    <w:rsid w:val="004F72EA"/>
    <w:rsid w:val="00504BD6"/>
    <w:rsid w:val="00525D29"/>
    <w:rsid w:val="00592C4F"/>
    <w:rsid w:val="005B6BEB"/>
    <w:rsid w:val="005C0908"/>
    <w:rsid w:val="005D6995"/>
    <w:rsid w:val="006276C7"/>
    <w:rsid w:val="006362C8"/>
    <w:rsid w:val="00646BB6"/>
    <w:rsid w:val="00650885"/>
    <w:rsid w:val="00671872"/>
    <w:rsid w:val="0067345D"/>
    <w:rsid w:val="00676155"/>
    <w:rsid w:val="006B18D2"/>
    <w:rsid w:val="006E203B"/>
    <w:rsid w:val="006F4941"/>
    <w:rsid w:val="00722998"/>
    <w:rsid w:val="007B6840"/>
    <w:rsid w:val="007E3C13"/>
    <w:rsid w:val="007F5954"/>
    <w:rsid w:val="00805961"/>
    <w:rsid w:val="00897BC9"/>
    <w:rsid w:val="008A114B"/>
    <w:rsid w:val="008C7E37"/>
    <w:rsid w:val="008D0F81"/>
    <w:rsid w:val="008F73C8"/>
    <w:rsid w:val="00906562"/>
    <w:rsid w:val="00972941"/>
    <w:rsid w:val="009C46C2"/>
    <w:rsid w:val="009C4923"/>
    <w:rsid w:val="00A168F7"/>
    <w:rsid w:val="00A35600"/>
    <w:rsid w:val="00A35EAE"/>
    <w:rsid w:val="00A45CB2"/>
    <w:rsid w:val="00B42388"/>
    <w:rsid w:val="00B53CCA"/>
    <w:rsid w:val="00B672F9"/>
    <w:rsid w:val="00B7627D"/>
    <w:rsid w:val="00BA1490"/>
    <w:rsid w:val="00BD7AA4"/>
    <w:rsid w:val="00C11004"/>
    <w:rsid w:val="00C222C7"/>
    <w:rsid w:val="00C648B8"/>
    <w:rsid w:val="00C70642"/>
    <w:rsid w:val="00C80D58"/>
    <w:rsid w:val="00CB1960"/>
    <w:rsid w:val="00CC2F12"/>
    <w:rsid w:val="00CD7575"/>
    <w:rsid w:val="00CE4728"/>
    <w:rsid w:val="00CE65A0"/>
    <w:rsid w:val="00CF13E4"/>
    <w:rsid w:val="00D12090"/>
    <w:rsid w:val="00D63E68"/>
    <w:rsid w:val="00D812B5"/>
    <w:rsid w:val="00DC240A"/>
    <w:rsid w:val="00DC3E47"/>
    <w:rsid w:val="00EC1BAC"/>
    <w:rsid w:val="00EE0E50"/>
    <w:rsid w:val="00EF5A25"/>
    <w:rsid w:val="00F2611B"/>
    <w:rsid w:val="00F268F4"/>
    <w:rsid w:val="00F53FED"/>
    <w:rsid w:val="00F62BBA"/>
    <w:rsid w:val="00F74A1E"/>
    <w:rsid w:val="00F86B2A"/>
    <w:rsid w:val="00F907EB"/>
    <w:rsid w:val="00FE246F"/>
    <w:rsid w:val="072559B2"/>
    <w:rsid w:val="09145E68"/>
    <w:rsid w:val="0CB3377E"/>
    <w:rsid w:val="193500DD"/>
    <w:rsid w:val="19E62A14"/>
    <w:rsid w:val="1A150FEE"/>
    <w:rsid w:val="1DC15A77"/>
    <w:rsid w:val="222D2B49"/>
    <w:rsid w:val="25037E29"/>
    <w:rsid w:val="279B10D2"/>
    <w:rsid w:val="282E11F8"/>
    <w:rsid w:val="2C7C5BE6"/>
    <w:rsid w:val="2EBE3FFE"/>
    <w:rsid w:val="3C456262"/>
    <w:rsid w:val="3FA972EA"/>
    <w:rsid w:val="4193264D"/>
    <w:rsid w:val="47E34E85"/>
    <w:rsid w:val="668545BD"/>
    <w:rsid w:val="68DF711F"/>
    <w:rsid w:val="6A7B666D"/>
    <w:rsid w:val="6C702528"/>
    <w:rsid w:val="6DB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333333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3903</Characters>
  <Lines>32</Lines>
  <Paragraphs>9</Paragraphs>
  <TotalTime>4</TotalTime>
  <ScaleCrop>false</ScaleCrop>
  <LinksUpToDate>false</LinksUpToDate>
  <CharactersWithSpaces>4578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2021-01-07T05:36:00Z</dcterms:created>
  <dc:creator>Lenovo</dc:creator>
  <cp:lastModifiedBy>诺达名师-蒋老师18188609073</cp:lastModifiedBy>
  <cp:lastPrinted>2411-12-30T00:00:00Z</cp:lastPrinted>
  <dcterms:modified xsi:type="dcterms:W3CDTF">2022-12-09T09:10:36Z</dcterms:modified>
  <dc:title>基于素质的人才甄选技术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(2)7o1YNuUI6UZVplZvZw1JhdFE97sCaqllg3Tnw07mWvgOnesNL80SDYGv8iclYkOkHREqlcEW
Kqp9eDmehW+2zEZ/dMYGCk6isPWwWa/nTeasfkUlK9uyWO3t77uxUleeOmMKHirACEXgYatK
6kXoBAynJVVHj2RKCBDHr2wMY5beyWM9SJqhfqv6uegXb6/BhbPTkbxwJvkUtjarMZtJNkc6
D4SxDJD38rYOAakiG04AQ</vt:lpwstr>
  </property>
  <property fmtid="{D5CDD505-2E9C-101B-9397-08002B2CF9AE}" pid="3" name="_ms_pID_7253431">
    <vt:lpwstr>L2UKe7VI26lJSkaw7uXa5C/UsfVObanErWf85FNYS/pbQgn1BnZ
gIvG/cTWffHhe3SCUYZzWNKgKxvnNRfHvhoOH003NfoUzY3QqmDaZaOhte+V6usJzfm/KNcB
KBFSG1vfxDynwUknoYSOaBQc9Q+ibJvLRPR58KMa/McgVw==</vt:lpwstr>
  </property>
  <property fmtid="{D5CDD505-2E9C-101B-9397-08002B2CF9AE}" pid="4" name="KSOProductBuildVer">
    <vt:lpwstr>2052-11.1.0.12980</vt:lpwstr>
  </property>
  <property fmtid="{D5CDD505-2E9C-101B-9397-08002B2CF9AE}" pid="5" name="sflag">
    <vt:lpwstr>1319598693</vt:lpwstr>
  </property>
  <property fmtid="{D5CDD505-2E9C-101B-9397-08002B2CF9AE}" pid="6" name="ICV">
    <vt:lpwstr>80AE279BE1C54E178E620958C82231B2</vt:lpwstr>
  </property>
</Properties>
</file>