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spacing w:val="60"/>
          <w:sz w:val="36"/>
          <w:szCs w:val="36"/>
        </w:rPr>
      </w:pPr>
      <w:r>
        <w:rPr>
          <w:rFonts w:hint="eastAsia" w:ascii="微软雅黑" w:hAnsi="微软雅黑"/>
          <w:b/>
          <w:bCs/>
          <w:spacing w:val="60"/>
          <w:sz w:val="36"/>
          <w:szCs w:val="36"/>
        </w:rPr>
        <w:t>构建高竞争力的人才战略：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spacing w:val="60"/>
          <w:sz w:val="36"/>
          <w:szCs w:val="36"/>
        </w:rPr>
      </w:pPr>
      <w:r>
        <w:rPr>
          <w:rFonts w:hint="eastAsia" w:ascii="微软雅黑" w:hAnsi="微软雅黑"/>
          <w:b/>
          <w:bCs/>
          <w:spacing w:val="60"/>
          <w:sz w:val="36"/>
          <w:szCs w:val="36"/>
        </w:rPr>
        <w:t>打通人才标准</w:t>
      </w:r>
      <w:r>
        <w:rPr>
          <w:rFonts w:ascii="微软雅黑" w:hAnsi="微软雅黑"/>
          <w:b/>
          <w:bCs/>
          <w:spacing w:val="60"/>
          <w:sz w:val="36"/>
          <w:szCs w:val="36"/>
        </w:rPr>
        <w:t>+人才评估+人才发展三大体系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color w:val="0E3F8C"/>
          <w:sz w:val="24"/>
          <w:szCs w:val="24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 w:ascii="微软雅黑" w:hAnsi="微软雅黑"/>
          <w:b/>
          <w:bCs/>
          <w:color w:val="0E3F8C"/>
          <w:sz w:val="24"/>
          <w:szCs w:val="24"/>
        </w:rPr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课程费用</w:t>
      </w:r>
      <w:r>
        <w:rPr>
          <w:rFonts w:hint="eastAsia" w:ascii="微软雅黑" w:hAnsi="微软雅黑"/>
          <w:b/>
          <w:bCs/>
          <w:color w:val="0E3F8C"/>
          <w:sz w:val="24"/>
          <w:szCs w:val="24"/>
        </w:rPr>
        <w:t>：6</w:t>
      </w:r>
      <w:r>
        <w:rPr>
          <w:rFonts w:ascii="微软雅黑" w:hAnsi="微软雅黑"/>
          <w:b/>
          <w:bCs/>
          <w:color w:val="0E3F8C"/>
          <w:sz w:val="24"/>
          <w:szCs w:val="24"/>
        </w:rPr>
        <w:t>800</w:t>
      </w:r>
      <w:r>
        <w:rPr>
          <w:rFonts w:hint="eastAsia" w:ascii="微软雅黑" w:hAnsi="微软雅黑"/>
          <w:b/>
          <w:bCs/>
          <w:color w:val="0E3F8C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color w:val="0E3F8C"/>
          <w:sz w:val="32"/>
          <w:szCs w:val="32"/>
        </w:rPr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【课程背景】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业务部门管理者及</w:t>
      </w:r>
      <w:r>
        <w:t xml:space="preserve"> HR 人员，希望能够了解人才培养体系的专业知识和操作实践以及战略定位，以期很好地推进业务的快速发展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color w:val="0E3F8C"/>
          <w:sz w:val="32"/>
          <w:szCs w:val="32"/>
        </w:rPr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【课程目标】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帮助人才发展负责人理清思路，提升人才管理效能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帮助业务主管明确个人在人才培养中的角色和作用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掌握人才培养体系的整理思路及三大体系的应用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掌握每个体系搭建中关键节点的工作内容、工具和方法论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能根据自身企业特点设计人才培养体系的初步方案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color w:val="0E3F8C"/>
          <w:sz w:val="32"/>
          <w:szCs w:val="32"/>
        </w:rPr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【课程对象】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textAlignment w:val="auto"/>
      </w:pPr>
      <w:r>
        <w:rPr>
          <w:rFonts w:hint="eastAsia"/>
        </w:rPr>
        <w:t>企业各部门管理者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textAlignment w:val="auto"/>
      </w:pPr>
      <w:r>
        <w:t>HR 负责人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textAlignment w:val="auto"/>
      </w:pPr>
      <w:r>
        <w:rPr>
          <w:rFonts w:hint="eastAsia"/>
        </w:rPr>
        <w:t>负责培训、人才发展、组织发展的管理人员等。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【课程大纲】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第一模块：构建人才培养体系整体思路（</w:t>
      </w:r>
      <w:r>
        <w:rPr>
          <w:b/>
          <w:bCs/>
        </w:rPr>
        <w:t>WHY-HOW-WHAT）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WHY：人力资源管理演进过程---人力资源价值管理增值阶段对人才的渴求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HOW：制定人才培养方案的步骤和节点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HOW：构建高竞争力人才培养体系的一些要求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WHAT：人才培养体系全景图---三大体系构建：从人才标准到人才识别到人才发展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第二模块：构建人才标准体系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明确企业需求与人才要求：人才数量分析&amp;人才质量分析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如何选拔人才？建立选拔标准：胜任力素质模型与任职资格体系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如何确定人才标准：胜任力素质模型、企业文化等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人才标准体系---如何构建胜任力素质模型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胜任力敏捷建模</w:t>
      </w:r>
      <w:r>
        <w:t>---拆解一家互联网公司的胜任力敏捷建模案例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1. 胜任力模型的行为事件访谈法介绍（BEI 技术）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定义绩效标准、选取效标样本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BEI 行为事件访谈法的实施流程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BEI 行为事件访谈法的 STAR 提问技术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STAR 提问时的注意问题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2. 1.5 天胜任力敏捷建模工作坊实作---流程与方法论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胜任力敏捷建模的方法论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胜任力敏捷建模的流程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胜任力敏捷建模的工具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如何编写胜任力素质的行为描述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构建完整的胜任力模型是什么样的？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☆</w:t>
      </w:r>
      <w:r>
        <w:t xml:space="preserve"> 案例展示：某互联网公司基层主管胜任力模型的敏捷建模案例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3. 如何应用胜任力素质模型搭建企业人才发展体系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胜任力模型如何用于人才标准体系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胜任力模型如何用于人才识别体系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胜任力模型如何用于人才培养体系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胜任力模型如何结合 IDP（个人发展计划）做人才培养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☆</w:t>
      </w:r>
      <w:r>
        <w:t xml:space="preserve"> 案例展示：某集团公司核心胜任力模型的构建应用案例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第三模块：构建人才评估体系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人才评估三维度：能不能、合不合、愿不愿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人才评估体系---实战案例：某集团企业评价中心的搭建与应用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1. 评鉴维度与各种评鉴工具的区别：线上与线下测评工具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2. 如何选择合适的评鉴手段---案例展示：公文筐、情景模拟、案例分析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3. 建立内部评鉴能力---内部测评师团队的建立与能力提升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人才评估体系---人才盘点的方法论与最佳实践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1. 人才盘点的流程和基本原则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2. 人才盘点的工具方法---识别关键岗位、识别潜力、九宫格等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3. 人才盘点的结果应用---个人发展计划、领导力发展地图等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☆</w:t>
      </w:r>
      <w:r>
        <w:t xml:space="preserve"> 案例展示：某集团公司人才盘点的实战案例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第四模块：构建人才发展体系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人才发展项目三要素---发展项目设计（团队和个人）、打通职业发展通道（晋升机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制）、激励保留机制（合伙人机制）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1. 发展项目设计---团队发展方式：重点发展项目实战案例展示：管培生计划、内训</w:t>
      </w:r>
      <w:r>
        <w:rPr>
          <w:rFonts w:hint="eastAsia"/>
        </w:rPr>
        <w:t>师选育用留、移动学习项目、高管定制培养项目、</w:t>
      </w:r>
      <w:r>
        <w:t>HRBP 训练营等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发展项目设计</w:t>
      </w:r>
      <w:r>
        <w:t>---个人发展方式：个人发展计划 IDP、702010 学习法则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2. 打通职业发展通道：职业发展双通道与职等职级设计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rPr>
          <w:rFonts w:hint="eastAsia"/>
        </w:rPr>
        <w:t>晋升机制建立</w:t>
      </w:r>
      <w:r>
        <w:t>---案例展示：企业内部如何做晋升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3. 激励保留机制---如何保留激励：合伙人机制介绍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第五模块：总结与行动计划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</w:pPr>
      <w:r>
        <w:t>课程总结与提问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ascii="微软雅黑" w:hAnsi="微软雅黑"/>
          <w:b/>
          <w:bCs/>
          <w:color w:val="0E3F8C"/>
          <w:sz w:val="32"/>
          <w:szCs w:val="32"/>
        </w:rPr>
      </w:pPr>
      <w:r>
        <w:rPr>
          <w:rFonts w:hint="eastAsia" w:ascii="微软雅黑" w:hAnsi="微软雅黑"/>
          <w:b/>
          <w:bCs/>
          <w:color w:val="0E3F8C"/>
          <w:sz w:val="32"/>
          <w:szCs w:val="32"/>
        </w:rPr>
        <w:t>【讲师介绍】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林丽萍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曾任互联网教育集团</w:t>
      </w:r>
      <w:r>
        <w:t xml:space="preserve"> HRVP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曾任</w:t>
      </w:r>
      <w:r>
        <w:t xml:space="preserve"> 500 强上市新能源集团公司 集团 HRD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上海交通大学</w:t>
      </w:r>
      <w:r>
        <w:t xml:space="preserve"> 工商管理硕士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上海交通大学</w:t>
      </w:r>
      <w:r>
        <w:t xml:space="preserve"> 客座讲师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美国</w:t>
      </w:r>
      <w:r>
        <w:t xml:space="preserve"> CTI 认证“共创式教练”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人社部认证职业生涯规划师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40" w:firstLine="0" w:firstLineChars="0"/>
        <w:jc w:val="left"/>
        <w:textAlignment w:val="auto"/>
      </w:pPr>
      <w:r>
        <w:rPr>
          <w:rFonts w:hint="eastAsia"/>
        </w:rPr>
        <w:t>国家二级心理咨询师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行业经验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林丽萍老师曾任互联网集团公司</w:t>
      </w:r>
      <w:r>
        <w:t xml:space="preserve"> HRVP，曾任 500 强上市新能源集团公司 集团人力资源总监;17 年大型外企/民企人力资源管理经验，操盘过 5.4 亿人力成本管控及优化项目、大型集团公司组织架构 梳理及三定(定人定岗定级)项目、企业文化从 0 到 1 搭建及落地项目、薪酬绩效体系搭建及落地、中 高管定制培养项目;专业领域擅长人力资源成本管控、组织优化、中高管人才培养项目设计、绩效体系;涉及互联网教 育、能源、半导体、汽车、地产、大型零售点、金融、农业等众多行业。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主讲课程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《</w:t>
      </w:r>
      <w:r>
        <w:t>HRBP 的实践与创新》(2 天公开课/企业内训)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《构建高竞争力的人才培养体系》</w:t>
      </w:r>
      <w:r>
        <w:t>(2 天公开课/企业内训)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《手把手教你做胜任力敏捷建模》</w:t>
      </w:r>
      <w:r>
        <w:t>(2 天公开课/企业工作坊)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《人才盘点与继任者计划</w:t>
      </w:r>
      <w:r>
        <w:t>---方法论与最佳实践》(2 天公开课/企业工作坊)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培训客户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</w:pPr>
      <w:r>
        <w:rPr>
          <w:rFonts w:hint="eastAsia"/>
        </w:rPr>
        <w:t>招行总行、中国邮政、美的集团、国家开发投资集团、上海交大海外教育学院、广州亚美科技、新华国</w:t>
      </w:r>
      <w:r>
        <w:t xml:space="preserve"> 际教育集团、安森美半导体、中兴联、威能科技、耐世特汽车系统、捷普电子，报喜鸟，吉利集团，三棵树，海得控制，信也科技，金茂集团等。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57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微软雅黑" w:hAnsi="微软雅黑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ZTY3ZWExNWMzOTkwNTZkMTk0MzY3M2NlZTI0ZDkifQ=="/>
  </w:docVars>
  <w:rsids>
    <w:rsidRoot w:val="009570B9"/>
    <w:rsid w:val="00045B92"/>
    <w:rsid w:val="000D4D76"/>
    <w:rsid w:val="00120E73"/>
    <w:rsid w:val="0012182F"/>
    <w:rsid w:val="00126017"/>
    <w:rsid w:val="0017360B"/>
    <w:rsid w:val="00284599"/>
    <w:rsid w:val="00287981"/>
    <w:rsid w:val="002A11AB"/>
    <w:rsid w:val="002D50D9"/>
    <w:rsid w:val="002D637A"/>
    <w:rsid w:val="003421A1"/>
    <w:rsid w:val="003C4923"/>
    <w:rsid w:val="004C721E"/>
    <w:rsid w:val="004E198D"/>
    <w:rsid w:val="005A0D63"/>
    <w:rsid w:val="00613502"/>
    <w:rsid w:val="006F76C2"/>
    <w:rsid w:val="007C0CC7"/>
    <w:rsid w:val="007C0DAB"/>
    <w:rsid w:val="008A7E75"/>
    <w:rsid w:val="009570B9"/>
    <w:rsid w:val="009A579E"/>
    <w:rsid w:val="009B020D"/>
    <w:rsid w:val="009E31A1"/>
    <w:rsid w:val="009E6CCD"/>
    <w:rsid w:val="00A25220"/>
    <w:rsid w:val="00A76E30"/>
    <w:rsid w:val="00A96EF7"/>
    <w:rsid w:val="00AD05F7"/>
    <w:rsid w:val="00B657C9"/>
    <w:rsid w:val="00BA4A72"/>
    <w:rsid w:val="00BC5D40"/>
    <w:rsid w:val="00C459D6"/>
    <w:rsid w:val="00CD6224"/>
    <w:rsid w:val="00CE23C0"/>
    <w:rsid w:val="00D04E56"/>
    <w:rsid w:val="00D1195C"/>
    <w:rsid w:val="00D7654E"/>
    <w:rsid w:val="00D810CE"/>
    <w:rsid w:val="00DE3F86"/>
    <w:rsid w:val="00E01709"/>
    <w:rsid w:val="00E2788B"/>
    <w:rsid w:val="00E4366D"/>
    <w:rsid w:val="00E46153"/>
    <w:rsid w:val="00E67D9E"/>
    <w:rsid w:val="00EF0A17"/>
    <w:rsid w:val="00F905C4"/>
    <w:rsid w:val="32117D61"/>
    <w:rsid w:val="597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2993-E4D9-4F76-B7CA-61B637287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1834</Characters>
  <Lines>15</Lines>
  <Paragraphs>4</Paragraphs>
  <TotalTime>8</TotalTime>
  <ScaleCrop>false</ScaleCrop>
  <LinksUpToDate>false</LinksUpToDate>
  <CharactersWithSpaces>2151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2022-10-31T08:12:00Z</dcterms:created>
  <dc:creator>林 圣料</dc:creator>
  <cp:lastModifiedBy>诺达名师-蒋老师18188609073</cp:lastModifiedBy>
  <dcterms:modified xsi:type="dcterms:W3CDTF">2022-12-10T03:10:54Z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F18A8F525FC8432B8F130B290FFBEA65</vt:lpwstr>
  </property>
</Properties>
</file>